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0F0EC" w14:textId="77777777" w:rsidR="002C55F3" w:rsidRPr="009759D3" w:rsidRDefault="002C55F3" w:rsidP="002C55F3">
      <w:pPr>
        <w:autoSpaceDE w:val="0"/>
        <w:autoSpaceDN w:val="0"/>
        <w:adjustRightInd w:val="0"/>
        <w:spacing w:before="113"/>
        <w:jc w:val="both"/>
        <w:rPr>
          <w:rFonts w:ascii="Garamond" w:hAnsi="Garamond" w:cs="Arial"/>
          <w:color w:val="000000" w:themeColor="text1"/>
          <w:sz w:val="24"/>
          <w:szCs w:val="24"/>
          <w:lang w:val="es-ES_tradnl"/>
        </w:rPr>
      </w:pPr>
      <w:r w:rsidRPr="009759D3">
        <w:rPr>
          <w:rFonts w:ascii="Garamond" w:hAnsi="Garamond" w:cs="Arial"/>
          <w:b/>
          <w:bCs/>
          <w:color w:val="000000" w:themeColor="text1"/>
          <w:lang w:val="es-ES_tradnl"/>
        </w:rPr>
        <w:t>LEY …. /2021, DE … DE ………, DE MODIFICACIÓN DE LA LEY 12/2012, DE 21 DE JUNIO, CONTRA EL DOPAJE EN EL DEPORTE.</w:t>
      </w:r>
    </w:p>
    <w:p w14:paraId="38C73CA4"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4E6E2E2D" w14:textId="77777777" w:rsidR="002C55F3" w:rsidRPr="009759D3" w:rsidRDefault="002C55F3" w:rsidP="002C55F3">
      <w:pPr>
        <w:autoSpaceDE w:val="0"/>
        <w:autoSpaceDN w:val="0"/>
        <w:adjustRightInd w:val="0"/>
        <w:jc w:val="center"/>
        <w:rPr>
          <w:rFonts w:ascii="Garamond" w:hAnsi="Garamond" w:cs="Arial"/>
          <w:b/>
          <w:bCs/>
          <w:color w:val="000000" w:themeColor="text1"/>
          <w:sz w:val="24"/>
          <w:szCs w:val="24"/>
          <w:lang w:val="es-ES_tradnl"/>
        </w:rPr>
      </w:pPr>
      <w:r>
        <w:rPr>
          <w:rFonts w:ascii="Garamond" w:hAnsi="Garamond" w:cs="Arial"/>
          <w:b/>
          <w:bCs/>
          <w:color w:val="000000" w:themeColor="text1"/>
          <w:lang w:val="es-ES_tradnl"/>
        </w:rPr>
        <w:t>EXPOSICIÓN DE MOTIVOS.</w:t>
      </w:r>
    </w:p>
    <w:p w14:paraId="73EE62F0"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1B56954A"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r w:rsidRPr="009759D3">
        <w:rPr>
          <w:rFonts w:ascii="Garamond" w:hAnsi="Garamond" w:cs="Arial"/>
          <w:color w:val="000000" w:themeColor="text1"/>
          <w:sz w:val="24"/>
          <w:szCs w:val="24"/>
          <w:lang w:val="es-ES_tradnl"/>
        </w:rPr>
        <w:t>El Parlamento Vasco aprobó la Ley 12/2012, de 21 de junio, contra el Dopaje en el Deporte, que se basó en los principios comúnmente aceptados por los organismos internacionales más avanzados en la lucha contra el dopaje en el deporte. La estructura piramidal del deporte de competición y la interrelación de las competiciones deportivas en sus distintos ámbitos y niveles territoriales exigía un marco jurídico común en la lucha contra el dopaje en el</w:t>
      </w:r>
      <w:bookmarkStart w:id="0" w:name="_GoBack"/>
      <w:bookmarkEnd w:id="0"/>
      <w:r w:rsidRPr="009759D3">
        <w:rPr>
          <w:rFonts w:ascii="Garamond" w:hAnsi="Garamond" w:cs="Arial"/>
          <w:color w:val="000000" w:themeColor="text1"/>
          <w:sz w:val="24"/>
          <w:szCs w:val="24"/>
          <w:lang w:val="es-ES_tradnl"/>
        </w:rPr>
        <w:t xml:space="preserve"> deporte.</w:t>
      </w:r>
    </w:p>
    <w:p w14:paraId="63A9F459" w14:textId="77777777" w:rsidR="002C55F3" w:rsidRPr="009759D3" w:rsidRDefault="002C55F3" w:rsidP="002C55F3">
      <w:pPr>
        <w:autoSpaceDE w:val="0"/>
        <w:autoSpaceDN w:val="0"/>
        <w:adjustRightInd w:val="0"/>
        <w:spacing w:before="113"/>
        <w:jc w:val="both"/>
        <w:rPr>
          <w:rFonts w:ascii="Garamond" w:hAnsi="Garamond" w:cs="Arial"/>
          <w:color w:val="000000" w:themeColor="text1"/>
          <w:sz w:val="24"/>
          <w:szCs w:val="24"/>
          <w:lang w:val="es-ES_tradnl"/>
        </w:rPr>
      </w:pPr>
    </w:p>
    <w:p w14:paraId="0A0FEA94"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r w:rsidRPr="009759D3">
        <w:rPr>
          <w:rFonts w:ascii="Garamond" w:hAnsi="Garamond" w:cs="Arial"/>
          <w:color w:val="000000" w:themeColor="text1"/>
          <w:sz w:val="24"/>
          <w:szCs w:val="24"/>
          <w:lang w:val="es-ES_tradnl"/>
        </w:rPr>
        <w:t>Por dicha razón, en el año 2003, la Agencia Mundial Antidopaje elaboró el Código Mundial Antidopaje y los estándares internacionales que lo complementan. Tales textos constituyeron un conjunto de reglas y directrices de obligado cumplimiento para el movimiento deportivo internacional y de necesaria referencia para las instituciones públicas implicadas en la lucha contra el dopaje. Ello condujo a la aprobación, por la Unesco, en su sesión de 19 de octubre de 2005, de la Convención Internacional contra el Dopaje en el Deporte. Dicha convención, que fue ratificada por España y publicada en el Boletín Oficial del Estado el 16 de febrero de 2007, forma parte de nuestro ordenamiento jurídico interno, conforme a lo dispuesto en el artículo 96 de la Constitución. Aunque el Código Mundial Antidopaje no forma parte integrante de la convención, esta establece que, con miras a coordinar en el plano nacional e internacional las actividades de lucha contra el dopaje en el deporte, los signatarios de la convención están obligados a respetar los principios del código.</w:t>
      </w:r>
    </w:p>
    <w:p w14:paraId="1FA6E6FD"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60F84CBA"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r w:rsidRPr="009759D3">
        <w:rPr>
          <w:rFonts w:ascii="Garamond" w:hAnsi="Garamond" w:cs="Arial"/>
          <w:color w:val="000000" w:themeColor="text1"/>
          <w:sz w:val="24"/>
          <w:szCs w:val="24"/>
          <w:lang w:val="es-ES_tradnl"/>
        </w:rPr>
        <w:t xml:space="preserve">Cumple señalar que la Ley 12/2012, de 21 de junio, contra el Dopaje en el Deporte, ya fue objeto de una modificación, la cual fue llevada a cabo a través de la Ley 1/2018, de 7 de junio, publicada en el Boletín Oficial del País Vasco el 13 de junio de 2018. En aquella ocasión, a través de la citada Ley 1/2018, de 7 de junio, se procedió a adaptar la Ley 12/2012, de 21 de junio, contra el Dopaje en el Deporte al Código Mundial Antidopaje aprobado durante la IV Conferencia Mundial Antidopaje llevada a cabo durante los días 12 a 15 de noviembre de 2013 en Johannesburgo, Sudáfrica, en la que participaron representantes de las organizaciones deportivas y de estados. </w:t>
      </w:r>
    </w:p>
    <w:p w14:paraId="30A46D17"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2EF9C5F3"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r w:rsidRPr="009759D3">
        <w:rPr>
          <w:rFonts w:ascii="Garamond" w:hAnsi="Garamond" w:cs="Arial"/>
          <w:color w:val="000000" w:themeColor="text1"/>
          <w:sz w:val="24"/>
          <w:szCs w:val="24"/>
          <w:lang w:val="es-ES_tradnl"/>
        </w:rPr>
        <w:t>Con ocasión de la V Conferencia Mundial Antidopaje llevada a cabo en Katowice, Polonia, y en la que participaron representantes de las organizaciones deportivas y de estados, el 7 de noviembre de 2019 se aprobó el Código Mundial Antidopaje que ha entrado en vigor el 1 de enero de 2021.</w:t>
      </w:r>
    </w:p>
    <w:p w14:paraId="3F2BD6C4" w14:textId="77777777" w:rsidR="002C55F3" w:rsidRPr="009759D3" w:rsidRDefault="002C55F3" w:rsidP="002C55F3">
      <w:pPr>
        <w:pStyle w:val="Tarterikez"/>
        <w:rPr>
          <w:rFonts w:ascii="Garamond" w:hAnsi="Garamond" w:cs="Arial"/>
          <w:color w:val="000000" w:themeColor="text1"/>
          <w:lang w:val="es-ES_tradnl"/>
        </w:rPr>
      </w:pPr>
    </w:p>
    <w:p w14:paraId="0FDAEEBA" w14:textId="77777777" w:rsidR="002C55F3" w:rsidRPr="009759D3" w:rsidRDefault="002C55F3" w:rsidP="002C55F3">
      <w:pPr>
        <w:autoSpaceDE w:val="0"/>
        <w:autoSpaceDN w:val="0"/>
        <w:adjustRightInd w:val="0"/>
        <w:spacing w:before="113"/>
        <w:jc w:val="both"/>
        <w:rPr>
          <w:rFonts w:ascii="Garamond" w:hAnsi="Garamond" w:cs="Arial"/>
          <w:color w:val="000000" w:themeColor="text1"/>
          <w:sz w:val="24"/>
          <w:szCs w:val="24"/>
          <w:lang w:val="es-ES_tradnl"/>
        </w:rPr>
      </w:pPr>
      <w:r w:rsidRPr="009759D3">
        <w:rPr>
          <w:rFonts w:ascii="Garamond" w:hAnsi="Garamond" w:cs="Arial"/>
          <w:color w:val="000000" w:themeColor="text1"/>
          <w:sz w:val="24"/>
          <w:szCs w:val="24"/>
          <w:lang w:val="es-ES_tradnl"/>
        </w:rPr>
        <w:t>Como modificaciones más relevantes del nuevo código, se pueden destacar las siguientes:</w:t>
      </w:r>
    </w:p>
    <w:p w14:paraId="5D052106" w14:textId="77777777" w:rsidR="002C55F3" w:rsidRPr="009759D3" w:rsidRDefault="002C55F3" w:rsidP="002C55F3">
      <w:pPr>
        <w:autoSpaceDE w:val="0"/>
        <w:autoSpaceDN w:val="0"/>
        <w:adjustRightInd w:val="0"/>
        <w:spacing w:before="113"/>
        <w:jc w:val="both"/>
        <w:rPr>
          <w:rFonts w:ascii="Garamond" w:hAnsi="Garamond" w:cs="Arial"/>
          <w:color w:val="000000" w:themeColor="text1"/>
          <w:sz w:val="24"/>
          <w:szCs w:val="24"/>
          <w:lang w:val="es-ES_tradnl"/>
        </w:rPr>
      </w:pPr>
    </w:p>
    <w:p w14:paraId="28D0B9A6" w14:textId="77777777" w:rsidR="002C55F3" w:rsidRPr="009759D3" w:rsidRDefault="002C55F3" w:rsidP="002C55F3">
      <w:pPr>
        <w:pStyle w:val="Zerrenda-paragrafoa"/>
        <w:numPr>
          <w:ilvl w:val="0"/>
          <w:numId w:val="7"/>
        </w:numPr>
        <w:autoSpaceDE w:val="0"/>
        <w:autoSpaceDN w:val="0"/>
        <w:adjustRightInd w:val="0"/>
        <w:jc w:val="both"/>
        <w:rPr>
          <w:rFonts w:ascii="Garamond" w:hAnsi="Garamond" w:cs="Arial"/>
          <w:color w:val="000000" w:themeColor="text1"/>
          <w:lang w:val="es-ES_tradnl"/>
        </w:rPr>
      </w:pPr>
      <w:r w:rsidRPr="009759D3">
        <w:rPr>
          <w:rFonts w:ascii="Garamond" w:hAnsi="Garamond" w:cs="Arial"/>
          <w:color w:val="000000" w:themeColor="text1"/>
          <w:lang w:val="es-ES_tradnl"/>
        </w:rPr>
        <w:t xml:space="preserve">La Ley se debe interpretar conforme a las reglas y criterios que aparecen contenidos en el Código Mundial Antidopaje, incluyendo los Estándares Internacionales aprobados y publicados por la Agencia Mundial Antidopaje, y los llamados documentos técnicos que dicha entidad tenga establecidos en cada momento. </w:t>
      </w:r>
    </w:p>
    <w:p w14:paraId="6A6EE04E" w14:textId="77777777" w:rsidR="002C55F3" w:rsidRPr="009759D3" w:rsidRDefault="002C55F3" w:rsidP="002C55F3">
      <w:pPr>
        <w:pStyle w:val="Zerrenda-paragrafoa"/>
        <w:numPr>
          <w:ilvl w:val="0"/>
          <w:numId w:val="7"/>
        </w:numPr>
        <w:autoSpaceDE w:val="0"/>
        <w:autoSpaceDN w:val="0"/>
        <w:adjustRightInd w:val="0"/>
        <w:jc w:val="both"/>
        <w:rPr>
          <w:rFonts w:ascii="Garamond" w:hAnsi="Garamond" w:cs="Arial"/>
          <w:color w:val="000000" w:themeColor="text1"/>
          <w:lang w:val="es-ES_tradnl"/>
        </w:rPr>
      </w:pPr>
      <w:r w:rsidRPr="009759D3">
        <w:rPr>
          <w:rFonts w:ascii="Garamond" w:hAnsi="Garamond" w:cs="Arial"/>
          <w:color w:val="000000" w:themeColor="text1"/>
          <w:lang w:val="es-ES_tradnl"/>
        </w:rPr>
        <w:t>Los y las deportistas se clasifican en diversos tipos, conforme a su nivel deportivo, internacional o no, y a su condición, federado o federada o no. Precisamente, respecto de determinadas obligaciones o responsabilidades exigibles a deportistas se toma en consideración su tipología.</w:t>
      </w:r>
    </w:p>
    <w:p w14:paraId="3AA009B8" w14:textId="77777777" w:rsidR="002C55F3" w:rsidRPr="009759D3" w:rsidRDefault="002C55F3" w:rsidP="002C55F3">
      <w:pPr>
        <w:pStyle w:val="Zerrenda-paragrafoa"/>
        <w:numPr>
          <w:ilvl w:val="0"/>
          <w:numId w:val="7"/>
        </w:numPr>
        <w:autoSpaceDE w:val="0"/>
        <w:autoSpaceDN w:val="0"/>
        <w:adjustRightInd w:val="0"/>
        <w:jc w:val="both"/>
        <w:rPr>
          <w:rFonts w:ascii="Garamond" w:hAnsi="Garamond" w:cs="Arial"/>
          <w:color w:val="000000" w:themeColor="text1"/>
          <w:lang w:val="es-ES_tradnl"/>
        </w:rPr>
      </w:pPr>
      <w:r w:rsidRPr="009759D3">
        <w:rPr>
          <w:rFonts w:ascii="Garamond" w:hAnsi="Garamond" w:cs="Arial"/>
          <w:color w:val="000000" w:themeColor="text1"/>
          <w:lang w:val="es-ES_tradnl"/>
        </w:rPr>
        <w:t>Se modifican y añaden determinadas infracciones en el catálogo de conductas consideradas ilícitas en materia de dopaje.</w:t>
      </w:r>
    </w:p>
    <w:p w14:paraId="28A1BB93" w14:textId="77777777" w:rsidR="002C55F3" w:rsidRPr="009759D3" w:rsidRDefault="002C55F3" w:rsidP="002C55F3">
      <w:pPr>
        <w:pStyle w:val="Zerrenda-paragrafoa"/>
        <w:numPr>
          <w:ilvl w:val="0"/>
          <w:numId w:val="7"/>
        </w:numPr>
        <w:autoSpaceDE w:val="0"/>
        <w:autoSpaceDN w:val="0"/>
        <w:adjustRightInd w:val="0"/>
        <w:jc w:val="both"/>
        <w:rPr>
          <w:rFonts w:ascii="Garamond" w:hAnsi="Garamond" w:cs="Arial"/>
          <w:color w:val="000000" w:themeColor="text1"/>
          <w:lang w:val="es-ES_tradnl"/>
        </w:rPr>
      </w:pPr>
      <w:r w:rsidRPr="009759D3">
        <w:rPr>
          <w:rFonts w:ascii="Garamond" w:hAnsi="Garamond" w:cs="Arial"/>
          <w:color w:val="000000" w:themeColor="text1"/>
          <w:lang w:val="es-ES_tradnl"/>
        </w:rPr>
        <w:t>Se fija la posibilidad de que las muestras tomadas a deportistas en controles de dopaje sean subdivididas en dos, con el objetivo de poder llevarse a cabo nuevos análisis de las mismas dentro del plazo de prescripción de las posibles infracciones.</w:t>
      </w:r>
    </w:p>
    <w:p w14:paraId="5FA5C72C" w14:textId="77777777" w:rsidR="002C55F3" w:rsidRPr="009759D3" w:rsidRDefault="002C55F3" w:rsidP="002C55F3">
      <w:pPr>
        <w:pStyle w:val="Zerrenda-paragrafoa"/>
        <w:numPr>
          <w:ilvl w:val="0"/>
          <w:numId w:val="7"/>
        </w:numPr>
        <w:autoSpaceDE w:val="0"/>
        <w:autoSpaceDN w:val="0"/>
        <w:adjustRightInd w:val="0"/>
        <w:jc w:val="both"/>
        <w:rPr>
          <w:rFonts w:ascii="Garamond" w:hAnsi="Garamond" w:cs="Arial"/>
          <w:color w:val="000000" w:themeColor="text1"/>
          <w:lang w:val="es-ES_tradnl"/>
        </w:rPr>
      </w:pPr>
      <w:r w:rsidRPr="009759D3">
        <w:rPr>
          <w:rFonts w:ascii="Garamond" w:hAnsi="Garamond" w:cs="Arial"/>
          <w:color w:val="000000" w:themeColor="text1"/>
          <w:lang w:val="es-ES_tradnl"/>
        </w:rPr>
        <w:t>Se refuerza la viabilidad del instrumento del pasaporte biológico como herramienta válida y admisible para determinar la comisión de determinadas infracciones de las normas de dopaje.</w:t>
      </w:r>
    </w:p>
    <w:p w14:paraId="75D6DBD7" w14:textId="77777777" w:rsidR="002C55F3" w:rsidRPr="009759D3" w:rsidRDefault="002C55F3" w:rsidP="002C55F3">
      <w:pPr>
        <w:pStyle w:val="Zerrenda-paragrafoa"/>
        <w:numPr>
          <w:ilvl w:val="0"/>
          <w:numId w:val="7"/>
        </w:numPr>
        <w:autoSpaceDE w:val="0"/>
        <w:autoSpaceDN w:val="0"/>
        <w:adjustRightInd w:val="0"/>
        <w:jc w:val="both"/>
        <w:rPr>
          <w:rFonts w:ascii="Garamond" w:hAnsi="Garamond" w:cs="Arial"/>
          <w:color w:val="000000" w:themeColor="text1"/>
          <w:lang w:val="es-ES_tradnl"/>
        </w:rPr>
      </w:pPr>
      <w:r w:rsidRPr="009759D3">
        <w:rPr>
          <w:rFonts w:ascii="Garamond" w:hAnsi="Garamond" w:cs="Arial"/>
          <w:color w:val="000000" w:themeColor="text1"/>
          <w:lang w:val="es-ES_tradnl"/>
        </w:rPr>
        <w:t>Se establece la existencia en la lista de agentes dopajes de una serie de sustancias, consideradas de abuso, que son aquellas que en ocasiones se emplean en determinados ámbitos sociales, pero sin un interés u objetivo de la mejora en el rendimiento deportivo.</w:t>
      </w:r>
    </w:p>
    <w:p w14:paraId="4EBCC6C8" w14:textId="77777777" w:rsidR="002C55F3" w:rsidRPr="009759D3" w:rsidRDefault="002C55F3" w:rsidP="002C55F3">
      <w:pPr>
        <w:pStyle w:val="Zerrenda-paragrafoa"/>
        <w:numPr>
          <w:ilvl w:val="0"/>
          <w:numId w:val="7"/>
        </w:numPr>
        <w:autoSpaceDE w:val="0"/>
        <w:autoSpaceDN w:val="0"/>
        <w:adjustRightInd w:val="0"/>
        <w:jc w:val="both"/>
        <w:rPr>
          <w:rFonts w:ascii="Garamond" w:hAnsi="Garamond" w:cs="Arial"/>
          <w:color w:val="000000" w:themeColor="text1"/>
          <w:lang w:val="es-ES_tradnl"/>
        </w:rPr>
      </w:pPr>
      <w:r w:rsidRPr="009759D3">
        <w:rPr>
          <w:rFonts w:ascii="Garamond" w:hAnsi="Garamond" w:cs="Arial"/>
          <w:color w:val="000000" w:themeColor="text1"/>
          <w:lang w:val="es-ES_tradnl"/>
        </w:rPr>
        <w:t>Se establece un tratamiento sancionador específico en algunos casos en los que la persona infractora asuma la sanción que se propone por la autoridad antidopaje.</w:t>
      </w:r>
    </w:p>
    <w:p w14:paraId="3B22D447"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423677AB"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r w:rsidRPr="009759D3">
        <w:rPr>
          <w:rFonts w:ascii="Garamond" w:hAnsi="Garamond" w:cs="Arial"/>
          <w:color w:val="000000" w:themeColor="text1"/>
          <w:sz w:val="24"/>
          <w:szCs w:val="24"/>
          <w:lang w:val="es-ES_tradnl"/>
        </w:rPr>
        <w:t xml:space="preserve">Por ello, el País Vasco se encuentra nuevamente en la obligación de adecuar, a la mayor brevedad, la vigente Ley 12/2012, de 21 de junio, contra el Dopaje en el Deporte, al nuevo Código Mundial Antidopaje. Dicha obligación de adaptación normativa a ser llevada a cabo en el País Vasco es igual a la que el resto de organizaciones deportivas y estados o países han llevado a cabo o están llevando a cabo para el mismo fin u objetivo. </w:t>
      </w:r>
    </w:p>
    <w:p w14:paraId="3E99A6B9" w14:textId="77777777" w:rsidR="002C55F3" w:rsidRPr="009759D3" w:rsidRDefault="002C55F3" w:rsidP="002C55F3">
      <w:pPr>
        <w:autoSpaceDE w:val="0"/>
        <w:autoSpaceDN w:val="0"/>
        <w:adjustRightInd w:val="0"/>
        <w:spacing w:before="113"/>
        <w:jc w:val="both"/>
        <w:rPr>
          <w:rFonts w:ascii="Garamond" w:hAnsi="Garamond" w:cs="Arial"/>
          <w:color w:val="000000" w:themeColor="text1"/>
          <w:sz w:val="24"/>
          <w:szCs w:val="24"/>
          <w:lang w:val="es-ES_tradnl"/>
        </w:rPr>
      </w:pPr>
    </w:p>
    <w:p w14:paraId="279DEB9D" w14:textId="77777777" w:rsidR="002C55F3" w:rsidRPr="009759D3" w:rsidRDefault="002C55F3" w:rsidP="002C55F3">
      <w:pPr>
        <w:autoSpaceDE w:val="0"/>
        <w:autoSpaceDN w:val="0"/>
        <w:adjustRightInd w:val="0"/>
        <w:jc w:val="both"/>
        <w:rPr>
          <w:rFonts w:ascii="Garamond" w:hAnsi="Garamond" w:cs="Arial"/>
          <w:b/>
          <w:bCs/>
          <w:color w:val="000000" w:themeColor="text1"/>
          <w:sz w:val="24"/>
          <w:szCs w:val="24"/>
          <w:lang w:val="es-ES_tradnl"/>
        </w:rPr>
      </w:pPr>
      <w:r w:rsidRPr="009759D3">
        <w:rPr>
          <w:rFonts w:ascii="Garamond" w:hAnsi="Garamond" w:cs="Arial"/>
          <w:b/>
          <w:bCs/>
          <w:color w:val="000000" w:themeColor="text1"/>
          <w:sz w:val="24"/>
          <w:szCs w:val="24"/>
          <w:lang w:val="es-ES_tradnl"/>
        </w:rPr>
        <w:t xml:space="preserve">Artículo Primero. </w:t>
      </w:r>
      <w:r w:rsidRPr="009759D3">
        <w:rPr>
          <w:rFonts w:ascii="Garamond" w:hAnsi="Garamond" w:cs="Arial"/>
          <w:color w:val="000000" w:themeColor="text1"/>
          <w:sz w:val="24"/>
          <w:szCs w:val="24"/>
          <w:lang w:val="es-ES_tradnl"/>
        </w:rPr>
        <w:t>Se añaden los apartados 7 y 8 en el artículo 1 de la Ley 12/2012, de 21 de junio, contra el Dopaje en el Deporte, que quedarán redactados en los siguientes términos:</w:t>
      </w:r>
    </w:p>
    <w:p w14:paraId="7064A8CB"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60AC6DE1" w14:textId="77777777" w:rsidR="002C55F3" w:rsidRPr="009759D3" w:rsidRDefault="002C55F3" w:rsidP="002C55F3">
      <w:pPr>
        <w:autoSpaceDE w:val="0"/>
        <w:autoSpaceDN w:val="0"/>
        <w:adjustRightInd w:val="0"/>
        <w:spacing w:before="113"/>
        <w:ind w:left="708"/>
        <w:jc w:val="both"/>
        <w:rPr>
          <w:rFonts w:ascii="Garamond" w:hAnsi="Garamond" w:cs="Arial"/>
          <w:color w:val="000000" w:themeColor="text1"/>
          <w:sz w:val="24"/>
          <w:szCs w:val="24"/>
        </w:rPr>
      </w:pPr>
      <w:r w:rsidRPr="009759D3">
        <w:rPr>
          <w:rFonts w:ascii="Garamond" w:hAnsi="Garamond" w:cs="Arial"/>
          <w:color w:val="000000" w:themeColor="text1"/>
          <w:sz w:val="24"/>
          <w:szCs w:val="24"/>
        </w:rPr>
        <w:t>«</w:t>
      </w:r>
      <w:r w:rsidRPr="009759D3">
        <w:rPr>
          <w:rFonts w:ascii="Garamond" w:hAnsi="Garamond" w:cs="Arial"/>
          <w:color w:val="000000" w:themeColor="text1"/>
          <w:sz w:val="24"/>
          <w:szCs w:val="24"/>
          <w:lang w:val="es-ES_tradnl"/>
        </w:rPr>
        <w:t>7.- Las normas y definiciones de esta ley se interpretarán de acuerdo a las reglas y criterios contenidos en el Código Mundial Antidopaje, en los Estándares Internacionales y en las Normas o Documentos Técnicos que integran el Programa Mundial Antidopaje aprobados por la Agencia Mundial Antidopaje.</w:t>
      </w:r>
    </w:p>
    <w:p w14:paraId="52002D93" w14:textId="77777777" w:rsidR="002C55F3" w:rsidRPr="009759D3" w:rsidRDefault="002C55F3" w:rsidP="002C55F3">
      <w:pPr>
        <w:autoSpaceDE w:val="0"/>
        <w:autoSpaceDN w:val="0"/>
        <w:adjustRightInd w:val="0"/>
        <w:spacing w:before="113"/>
        <w:ind w:left="708"/>
        <w:jc w:val="both"/>
        <w:rPr>
          <w:rFonts w:ascii="Garamond" w:hAnsi="Garamond" w:cs="Arial"/>
          <w:color w:val="000000" w:themeColor="text1"/>
          <w:sz w:val="24"/>
          <w:szCs w:val="24"/>
          <w:lang w:val="es-ES_tradnl"/>
        </w:rPr>
      </w:pPr>
      <w:r w:rsidRPr="009759D3">
        <w:rPr>
          <w:rFonts w:ascii="Garamond" w:hAnsi="Garamond" w:cs="Arial"/>
          <w:color w:val="000000" w:themeColor="text1"/>
          <w:sz w:val="24"/>
          <w:szCs w:val="24"/>
          <w:lang w:val="es-ES_tradnl"/>
        </w:rPr>
        <w:t>8.- Los y las deportistas se clasifican a efectos de la presente Ley en los siguientes niveles:</w:t>
      </w:r>
    </w:p>
    <w:p w14:paraId="6BE13C43" w14:textId="77777777" w:rsidR="002C55F3" w:rsidRPr="009759D3" w:rsidRDefault="002C55F3" w:rsidP="002C55F3">
      <w:pPr>
        <w:numPr>
          <w:ilvl w:val="0"/>
          <w:numId w:val="3"/>
        </w:numPr>
        <w:autoSpaceDE w:val="0"/>
        <w:autoSpaceDN w:val="0"/>
        <w:adjustRightInd w:val="0"/>
        <w:spacing w:before="113" w:after="0" w:line="240" w:lineRule="auto"/>
        <w:ind w:left="1428"/>
        <w:jc w:val="both"/>
        <w:rPr>
          <w:rFonts w:ascii="Garamond" w:hAnsi="Garamond" w:cs="Arial"/>
          <w:color w:val="000000" w:themeColor="text1"/>
          <w:sz w:val="24"/>
          <w:szCs w:val="24"/>
          <w:lang w:val="es-ES_tradnl"/>
        </w:rPr>
      </w:pPr>
      <w:r w:rsidRPr="009759D3">
        <w:rPr>
          <w:rFonts w:ascii="Garamond" w:hAnsi="Garamond" w:cs="Arial"/>
          <w:color w:val="000000" w:themeColor="text1"/>
          <w:sz w:val="24"/>
          <w:szCs w:val="24"/>
          <w:lang w:val="es-ES_tradnl"/>
        </w:rPr>
        <w:lastRenderedPageBreak/>
        <w:t>Federados o federadas de nivel internacional: son aquellas personas federadas que, por sus resultados o criterios, sean definidas o consideradas como tal por la federación internacional correspondiente.</w:t>
      </w:r>
    </w:p>
    <w:p w14:paraId="3AD1CAB4" w14:textId="77777777" w:rsidR="002C55F3" w:rsidRPr="009759D3" w:rsidRDefault="002C55F3" w:rsidP="002C55F3">
      <w:pPr>
        <w:numPr>
          <w:ilvl w:val="0"/>
          <w:numId w:val="3"/>
        </w:numPr>
        <w:autoSpaceDE w:val="0"/>
        <w:autoSpaceDN w:val="0"/>
        <w:adjustRightInd w:val="0"/>
        <w:spacing w:before="113" w:after="0" w:line="240" w:lineRule="auto"/>
        <w:ind w:left="1428"/>
        <w:jc w:val="both"/>
        <w:rPr>
          <w:rFonts w:ascii="Garamond" w:hAnsi="Garamond" w:cs="Arial"/>
          <w:color w:val="000000" w:themeColor="text1"/>
          <w:sz w:val="24"/>
          <w:szCs w:val="24"/>
          <w:lang w:val="es-ES_tradnl"/>
        </w:rPr>
      </w:pPr>
      <w:r w:rsidRPr="009759D3">
        <w:rPr>
          <w:rFonts w:ascii="Garamond" w:hAnsi="Garamond" w:cs="Arial"/>
          <w:color w:val="000000" w:themeColor="text1"/>
          <w:sz w:val="24"/>
          <w:szCs w:val="24"/>
          <w:lang w:val="es-ES_tradnl"/>
        </w:rPr>
        <w:t>Federados o federadas de nivel no internacional: son aquellas personas federadas que no tienen la consideración o calificación de nivel internacional. Igualmente tendrá dicha consideración la persona que, pese a que no se encuentre federada en un determinado momento por haber finalizado la vigencia de su licencia federativa, sea previsible que vuelvan a estarlo para continuar desarrollando su actividad deportiva.</w:t>
      </w:r>
    </w:p>
    <w:p w14:paraId="1D5A38AE" w14:textId="77777777" w:rsidR="002C55F3" w:rsidRPr="009759D3" w:rsidRDefault="002C55F3" w:rsidP="002C55F3">
      <w:pPr>
        <w:numPr>
          <w:ilvl w:val="0"/>
          <w:numId w:val="3"/>
        </w:numPr>
        <w:autoSpaceDE w:val="0"/>
        <w:autoSpaceDN w:val="0"/>
        <w:adjustRightInd w:val="0"/>
        <w:spacing w:before="113" w:after="0" w:line="240" w:lineRule="auto"/>
        <w:ind w:left="1428"/>
        <w:jc w:val="both"/>
        <w:rPr>
          <w:rFonts w:ascii="Garamond" w:hAnsi="Garamond" w:cs="Arial"/>
          <w:color w:val="000000" w:themeColor="text1"/>
          <w:sz w:val="24"/>
          <w:szCs w:val="24"/>
          <w:lang w:val="es-ES_tradnl"/>
        </w:rPr>
      </w:pPr>
      <w:r w:rsidRPr="009759D3">
        <w:rPr>
          <w:rFonts w:ascii="Garamond" w:hAnsi="Garamond" w:cs="Arial"/>
          <w:color w:val="000000" w:themeColor="text1"/>
          <w:sz w:val="24"/>
          <w:szCs w:val="24"/>
          <w:lang w:val="es-ES_tradnl"/>
        </w:rPr>
        <w:t>No federados o no federadas: son aquellas personas que, aun no estando federadas, toman parte con mayor o menor regularidad en competiciones o actividades deportivas que quedan dentro del ámbito de aplicación de esta Ley</w:t>
      </w:r>
      <w:r w:rsidRPr="009759D3">
        <w:rPr>
          <w:rFonts w:ascii="Garamond" w:hAnsi="Garamond" w:cs="Arial"/>
          <w:color w:val="000000" w:themeColor="text1"/>
          <w:sz w:val="24"/>
          <w:szCs w:val="24"/>
        </w:rPr>
        <w:t>»</w:t>
      </w:r>
      <w:r w:rsidRPr="009759D3">
        <w:rPr>
          <w:rFonts w:ascii="Garamond" w:hAnsi="Garamond" w:cs="Arial"/>
          <w:color w:val="000000" w:themeColor="text1"/>
          <w:sz w:val="24"/>
          <w:szCs w:val="24"/>
          <w:lang w:val="es-ES_tradnl"/>
        </w:rPr>
        <w:t>.</w:t>
      </w:r>
      <w:r w:rsidRPr="009759D3">
        <w:rPr>
          <w:rFonts w:ascii="Garamond" w:hAnsi="Garamond" w:cs="Arial"/>
          <w:color w:val="000000" w:themeColor="text1"/>
          <w:sz w:val="24"/>
          <w:szCs w:val="24"/>
        </w:rPr>
        <w:t xml:space="preserve"> </w:t>
      </w:r>
    </w:p>
    <w:p w14:paraId="293D2428" w14:textId="77777777" w:rsidR="002C55F3" w:rsidRPr="009759D3" w:rsidRDefault="002C55F3" w:rsidP="002C55F3">
      <w:pPr>
        <w:autoSpaceDE w:val="0"/>
        <w:autoSpaceDN w:val="0"/>
        <w:adjustRightInd w:val="0"/>
        <w:spacing w:before="113"/>
        <w:jc w:val="both"/>
        <w:rPr>
          <w:rFonts w:ascii="Garamond" w:hAnsi="Garamond" w:cs="Arial"/>
          <w:color w:val="000000" w:themeColor="text1"/>
          <w:sz w:val="24"/>
          <w:szCs w:val="24"/>
          <w:lang w:val="es-ES_tradnl"/>
        </w:rPr>
      </w:pPr>
    </w:p>
    <w:p w14:paraId="29A0EE2C" w14:textId="77777777" w:rsidR="002C55F3" w:rsidRPr="009759D3" w:rsidRDefault="002C55F3" w:rsidP="002C55F3">
      <w:pPr>
        <w:autoSpaceDE w:val="0"/>
        <w:autoSpaceDN w:val="0"/>
        <w:adjustRightInd w:val="0"/>
        <w:jc w:val="both"/>
        <w:rPr>
          <w:rFonts w:ascii="Garamond" w:hAnsi="Garamond" w:cs="Arial"/>
          <w:b/>
          <w:bCs/>
          <w:color w:val="000000" w:themeColor="text1"/>
          <w:sz w:val="24"/>
          <w:szCs w:val="24"/>
          <w:lang w:val="es-ES_tradnl"/>
        </w:rPr>
      </w:pPr>
      <w:r w:rsidRPr="009759D3">
        <w:rPr>
          <w:rFonts w:ascii="Garamond" w:hAnsi="Garamond" w:cs="Arial"/>
          <w:b/>
          <w:bCs/>
          <w:color w:val="000000" w:themeColor="text1"/>
          <w:sz w:val="24"/>
          <w:szCs w:val="24"/>
          <w:lang w:val="es-ES_tradnl"/>
        </w:rPr>
        <w:t xml:space="preserve">Artículo Segundo. </w:t>
      </w:r>
      <w:r w:rsidRPr="009759D3">
        <w:rPr>
          <w:rFonts w:ascii="Garamond" w:hAnsi="Garamond" w:cs="Arial"/>
          <w:color w:val="000000" w:themeColor="text1"/>
          <w:sz w:val="24"/>
          <w:szCs w:val="24"/>
          <w:lang w:val="es-ES_tradnl"/>
        </w:rPr>
        <w:t>Se añaden los apartados con las letras i) y j) en el artículo 3 de la Ley 12/2012, de 21 de junio, contra el Dopaje en el Deporte, que quedarán redactados en los siguientes términos:</w:t>
      </w:r>
    </w:p>
    <w:p w14:paraId="1DDDC715"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602B33D7" w14:textId="77777777" w:rsidR="002C55F3" w:rsidRPr="009759D3" w:rsidRDefault="002C55F3" w:rsidP="002C55F3">
      <w:pPr>
        <w:autoSpaceDE w:val="0"/>
        <w:autoSpaceDN w:val="0"/>
        <w:adjustRightInd w:val="0"/>
        <w:ind w:left="708"/>
        <w:jc w:val="both"/>
        <w:rPr>
          <w:rFonts w:ascii="Garamond" w:hAnsi="Garamond" w:cs="Arial"/>
          <w:color w:val="000000" w:themeColor="text1"/>
          <w:sz w:val="24"/>
          <w:szCs w:val="24"/>
          <w:lang w:val="es-ES_tradnl"/>
        </w:rPr>
      </w:pPr>
      <w:r w:rsidRPr="009759D3">
        <w:rPr>
          <w:rFonts w:ascii="Garamond" w:hAnsi="Garamond" w:cs="Arial"/>
          <w:color w:val="000000" w:themeColor="text1"/>
          <w:sz w:val="24"/>
          <w:szCs w:val="24"/>
        </w:rPr>
        <w:t>«</w:t>
      </w:r>
      <w:r w:rsidRPr="009759D3">
        <w:rPr>
          <w:rFonts w:ascii="Garamond" w:hAnsi="Garamond" w:cs="Arial"/>
          <w:color w:val="000000" w:themeColor="text1"/>
          <w:sz w:val="24"/>
          <w:szCs w:val="24"/>
          <w:lang w:val="es-ES_tradnl"/>
        </w:rPr>
        <w:t xml:space="preserve">i) Llevar a cabo el regreso a la competición tras haberse retirado de la práctica deportiva conforme a los criterios expresamente previstos en el Código Mundial Antidopaje, y ello con independencia de que el abandono se hubiese producido o no en un periodo de cumplimiento de una sanción de suspensión o inhabilitación por infracción de las normas de dopaje. </w:t>
      </w:r>
    </w:p>
    <w:p w14:paraId="74709652" w14:textId="77777777" w:rsidR="002C55F3" w:rsidRPr="009759D3" w:rsidRDefault="002C55F3" w:rsidP="002C55F3">
      <w:pPr>
        <w:autoSpaceDE w:val="0"/>
        <w:autoSpaceDN w:val="0"/>
        <w:adjustRightInd w:val="0"/>
        <w:ind w:left="708"/>
        <w:jc w:val="both"/>
        <w:rPr>
          <w:rFonts w:ascii="Garamond" w:hAnsi="Garamond" w:cs="Arial"/>
          <w:color w:val="000000" w:themeColor="text1"/>
          <w:sz w:val="24"/>
          <w:szCs w:val="24"/>
        </w:rPr>
      </w:pPr>
      <w:r w:rsidRPr="009759D3">
        <w:rPr>
          <w:rFonts w:ascii="Garamond" w:hAnsi="Garamond" w:cs="Arial"/>
          <w:color w:val="000000" w:themeColor="text1"/>
          <w:sz w:val="24"/>
          <w:szCs w:val="24"/>
        </w:rPr>
        <w:t>j) Evitar contratar, concertar, o recibir servicios para el desarrollo de la actividad deportiva, medie o no una retribución, de</w:t>
      </w:r>
      <w:r w:rsidRPr="009759D3">
        <w:rPr>
          <w:rFonts w:ascii="Garamond" w:hAnsi="Garamond" w:cs="Arial"/>
          <w:color w:val="000000" w:themeColor="text1"/>
          <w:sz w:val="24"/>
          <w:szCs w:val="24"/>
          <w:lang w:val="es-ES_tradnl"/>
        </w:rPr>
        <w:t xml:space="preserve"> cualquier persona que haya sido sancionada penal, disciplinaria o administrativamente por una infracción en materia de dopaje en los periodos en los que no resultase posible conforme a la normativa</w:t>
      </w:r>
      <w:r w:rsidRPr="009759D3">
        <w:rPr>
          <w:rFonts w:ascii="Garamond" w:hAnsi="Garamond" w:cs="Arial"/>
          <w:color w:val="000000" w:themeColor="text1"/>
          <w:sz w:val="24"/>
          <w:szCs w:val="24"/>
        </w:rPr>
        <w:t>»</w:t>
      </w:r>
      <w:r w:rsidRPr="009759D3">
        <w:rPr>
          <w:rFonts w:ascii="Garamond" w:hAnsi="Garamond" w:cs="Arial"/>
          <w:color w:val="000000" w:themeColor="text1"/>
          <w:sz w:val="24"/>
          <w:szCs w:val="24"/>
          <w:lang w:val="es-ES_tradnl"/>
        </w:rPr>
        <w:t>.</w:t>
      </w:r>
    </w:p>
    <w:p w14:paraId="1E43B21D"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2614D2C9" w14:textId="77777777" w:rsidR="002C55F3" w:rsidRPr="009759D3" w:rsidRDefault="002C55F3" w:rsidP="002C55F3">
      <w:pPr>
        <w:autoSpaceDE w:val="0"/>
        <w:autoSpaceDN w:val="0"/>
        <w:adjustRightInd w:val="0"/>
        <w:jc w:val="both"/>
        <w:rPr>
          <w:rFonts w:ascii="Garamond" w:hAnsi="Garamond" w:cs="Arial"/>
          <w:b/>
          <w:bCs/>
          <w:color w:val="000000" w:themeColor="text1"/>
          <w:sz w:val="24"/>
          <w:szCs w:val="24"/>
          <w:lang w:val="es-ES_tradnl"/>
        </w:rPr>
      </w:pPr>
      <w:r w:rsidRPr="009759D3">
        <w:rPr>
          <w:rFonts w:ascii="Garamond" w:hAnsi="Garamond" w:cs="Arial"/>
          <w:b/>
          <w:bCs/>
          <w:color w:val="000000" w:themeColor="text1"/>
          <w:sz w:val="24"/>
          <w:szCs w:val="24"/>
          <w:lang w:val="es-ES_tradnl"/>
        </w:rPr>
        <w:t xml:space="preserve">Artículo Tercero. </w:t>
      </w:r>
      <w:r w:rsidRPr="009759D3">
        <w:rPr>
          <w:rFonts w:ascii="Garamond" w:hAnsi="Garamond" w:cs="Arial"/>
          <w:color w:val="000000" w:themeColor="text1"/>
          <w:sz w:val="24"/>
          <w:szCs w:val="24"/>
          <w:lang w:val="es-ES_tradnl"/>
        </w:rPr>
        <w:t>Se añade un epígrafe con la letra o) en el apartado 1º del artículo 6 de la Ley 12/2012, de 21 de junio, contra el Dopaje, que quedará redactado en los siguientes términos:</w:t>
      </w:r>
    </w:p>
    <w:p w14:paraId="07E7311B"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4B53823E" w14:textId="77777777" w:rsidR="002C55F3" w:rsidRPr="009759D3" w:rsidRDefault="002C55F3" w:rsidP="002C55F3">
      <w:pPr>
        <w:autoSpaceDE w:val="0"/>
        <w:autoSpaceDN w:val="0"/>
        <w:adjustRightInd w:val="0"/>
        <w:ind w:left="708"/>
        <w:jc w:val="both"/>
        <w:rPr>
          <w:rFonts w:ascii="Garamond" w:hAnsi="Garamond" w:cs="Arial"/>
          <w:color w:val="000000" w:themeColor="text1"/>
          <w:sz w:val="24"/>
          <w:szCs w:val="24"/>
          <w:lang w:val="es-ES_tradnl"/>
        </w:rPr>
      </w:pPr>
      <w:r w:rsidRPr="009759D3">
        <w:rPr>
          <w:rFonts w:ascii="Garamond" w:hAnsi="Garamond" w:cs="Arial"/>
          <w:color w:val="000000" w:themeColor="text1"/>
          <w:sz w:val="24"/>
          <w:szCs w:val="24"/>
        </w:rPr>
        <w:t>«</w:t>
      </w:r>
      <w:r w:rsidRPr="009759D3">
        <w:rPr>
          <w:rFonts w:ascii="Garamond" w:hAnsi="Garamond" w:cs="Arial"/>
          <w:color w:val="000000" w:themeColor="text1"/>
          <w:sz w:val="24"/>
          <w:szCs w:val="24"/>
          <w:lang w:val="es-ES_tradnl"/>
        </w:rPr>
        <w:t xml:space="preserve">o) </w:t>
      </w:r>
      <w:r w:rsidRPr="009759D3">
        <w:rPr>
          <w:rFonts w:ascii="Garamond" w:hAnsi="Garamond" w:cs="Arial"/>
          <w:color w:val="000000" w:themeColor="text1"/>
          <w:sz w:val="24"/>
          <w:szCs w:val="24"/>
        </w:rPr>
        <w:t>Evitar contratar, concertar, o recibir servicios para el desarrollo de la actividad deportiva, medie o no una retribución, de</w:t>
      </w:r>
      <w:r w:rsidRPr="009759D3">
        <w:rPr>
          <w:rFonts w:ascii="Garamond" w:hAnsi="Garamond" w:cs="Arial"/>
          <w:color w:val="000000" w:themeColor="text1"/>
          <w:sz w:val="24"/>
          <w:szCs w:val="24"/>
          <w:lang w:val="es-ES_tradnl"/>
        </w:rPr>
        <w:t xml:space="preserve"> cualquier persona que haya sido sancionada penal, disciplinaria o administrativamente por una infracción en materia de dopaje en los periodos en los que no resultase posible conforme a la normativa</w:t>
      </w:r>
      <w:r w:rsidRPr="009759D3">
        <w:rPr>
          <w:rFonts w:ascii="Garamond" w:hAnsi="Garamond" w:cs="Arial"/>
          <w:color w:val="000000" w:themeColor="text1"/>
          <w:sz w:val="24"/>
          <w:szCs w:val="24"/>
        </w:rPr>
        <w:t>»</w:t>
      </w:r>
      <w:r w:rsidRPr="009759D3">
        <w:rPr>
          <w:rFonts w:ascii="Garamond" w:hAnsi="Garamond" w:cs="Arial"/>
          <w:color w:val="000000" w:themeColor="text1"/>
          <w:sz w:val="24"/>
          <w:szCs w:val="24"/>
          <w:lang w:val="es-ES_tradnl"/>
        </w:rPr>
        <w:t>.</w:t>
      </w:r>
    </w:p>
    <w:p w14:paraId="5DB86F85"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079B29D8"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r w:rsidRPr="009759D3">
        <w:rPr>
          <w:rFonts w:ascii="Garamond" w:hAnsi="Garamond" w:cs="Arial"/>
          <w:b/>
          <w:bCs/>
          <w:color w:val="000000" w:themeColor="text1"/>
          <w:sz w:val="24"/>
          <w:szCs w:val="24"/>
          <w:lang w:val="es-ES_tradnl"/>
        </w:rPr>
        <w:t>Artículo Cuarto</w:t>
      </w:r>
      <w:r w:rsidR="00082D20">
        <w:rPr>
          <w:rFonts w:ascii="Garamond" w:hAnsi="Garamond" w:cs="Arial"/>
          <w:color w:val="000000" w:themeColor="text1"/>
          <w:sz w:val="24"/>
          <w:szCs w:val="24"/>
          <w:lang w:val="es-ES_tradnl"/>
        </w:rPr>
        <w:t xml:space="preserve">. </w:t>
      </w:r>
      <w:r w:rsidRPr="009759D3">
        <w:rPr>
          <w:rFonts w:ascii="Garamond" w:hAnsi="Garamond" w:cs="Arial"/>
          <w:color w:val="000000" w:themeColor="text1"/>
          <w:sz w:val="24"/>
          <w:szCs w:val="24"/>
          <w:lang w:val="es-ES_tradnl"/>
        </w:rPr>
        <w:t>Se añade un párrafo en el apartado 11 del artículo 13 de la Ley 12/2012, de 21 de junio, contra el Dopaje en el Deporte, que quedará redactado en los siguientes términos:</w:t>
      </w:r>
    </w:p>
    <w:p w14:paraId="66A105DA" w14:textId="77777777" w:rsidR="002C55F3" w:rsidRPr="009759D3" w:rsidRDefault="002C55F3" w:rsidP="002C55F3">
      <w:pPr>
        <w:autoSpaceDE w:val="0"/>
        <w:autoSpaceDN w:val="0"/>
        <w:adjustRightInd w:val="0"/>
        <w:jc w:val="both"/>
        <w:rPr>
          <w:rFonts w:ascii="Garamond" w:hAnsi="Garamond" w:cs="Arial"/>
          <w:color w:val="000000" w:themeColor="text1"/>
          <w:sz w:val="24"/>
          <w:szCs w:val="24"/>
        </w:rPr>
      </w:pPr>
    </w:p>
    <w:p w14:paraId="4A6A79DA" w14:textId="77777777" w:rsidR="002C55F3" w:rsidRPr="009759D3" w:rsidRDefault="002C55F3" w:rsidP="002C55F3">
      <w:pPr>
        <w:autoSpaceDE w:val="0"/>
        <w:autoSpaceDN w:val="0"/>
        <w:adjustRightInd w:val="0"/>
        <w:ind w:left="708"/>
        <w:jc w:val="both"/>
        <w:rPr>
          <w:rFonts w:ascii="Garamond" w:hAnsi="Garamond" w:cs="Arial"/>
          <w:color w:val="000000" w:themeColor="text1"/>
          <w:sz w:val="24"/>
          <w:szCs w:val="24"/>
          <w:lang w:val="es-ES_tradnl"/>
        </w:rPr>
      </w:pPr>
      <w:r w:rsidRPr="009759D3">
        <w:rPr>
          <w:rFonts w:ascii="Garamond" w:hAnsi="Garamond" w:cs="Arial"/>
          <w:color w:val="000000" w:themeColor="text1"/>
          <w:sz w:val="24"/>
          <w:szCs w:val="24"/>
        </w:rPr>
        <w:t>«</w:t>
      </w:r>
      <w:r w:rsidRPr="009759D3">
        <w:rPr>
          <w:rFonts w:ascii="Garamond" w:hAnsi="Garamond" w:cs="Arial"/>
          <w:color w:val="000000" w:themeColor="text1"/>
          <w:sz w:val="24"/>
          <w:szCs w:val="24"/>
          <w:lang w:val="es-ES_tradnl"/>
        </w:rPr>
        <w:t>El órgano antidopaje podrá dividir una muestra A o B a efectos de usar el primer frasco de la misma para un primer análisis de la Muestra A y el segundo frasco para un análisis de confirmación debiendo seguirse en tal caso los Estándares Internacionales que hayan sido establecidos en cada momento y publicados por la Agencia Mundial Antidopaje</w:t>
      </w:r>
      <w:r w:rsidRPr="009759D3">
        <w:rPr>
          <w:rFonts w:ascii="Garamond" w:hAnsi="Garamond" w:cs="Arial"/>
          <w:color w:val="000000" w:themeColor="text1"/>
          <w:sz w:val="24"/>
          <w:szCs w:val="24"/>
        </w:rPr>
        <w:t>»</w:t>
      </w:r>
      <w:r w:rsidRPr="009759D3">
        <w:rPr>
          <w:rFonts w:ascii="Garamond" w:hAnsi="Garamond" w:cs="Arial"/>
          <w:color w:val="000000" w:themeColor="text1"/>
          <w:sz w:val="24"/>
          <w:szCs w:val="24"/>
          <w:lang w:val="es-ES_tradnl"/>
        </w:rPr>
        <w:t>.</w:t>
      </w:r>
    </w:p>
    <w:p w14:paraId="71D16B1F"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0A0776AE" w14:textId="77777777" w:rsidR="002C55F3" w:rsidRPr="009759D3" w:rsidRDefault="002C55F3" w:rsidP="002C55F3">
      <w:pPr>
        <w:autoSpaceDE w:val="0"/>
        <w:autoSpaceDN w:val="0"/>
        <w:adjustRightInd w:val="0"/>
        <w:jc w:val="both"/>
        <w:rPr>
          <w:rFonts w:ascii="Garamond" w:hAnsi="Garamond" w:cs="Arial"/>
          <w:b/>
          <w:bCs/>
          <w:color w:val="000000" w:themeColor="text1"/>
          <w:sz w:val="24"/>
          <w:szCs w:val="24"/>
          <w:lang w:val="es-ES_tradnl"/>
        </w:rPr>
      </w:pPr>
      <w:r w:rsidRPr="009759D3">
        <w:rPr>
          <w:rFonts w:ascii="Garamond" w:hAnsi="Garamond" w:cs="Arial"/>
          <w:b/>
          <w:bCs/>
          <w:color w:val="000000" w:themeColor="text1"/>
          <w:sz w:val="24"/>
          <w:szCs w:val="24"/>
          <w:lang w:val="es-ES_tradnl"/>
        </w:rPr>
        <w:t>Artículo Quinto.</w:t>
      </w:r>
      <w:r w:rsidR="00082D20">
        <w:rPr>
          <w:rFonts w:ascii="Garamond" w:hAnsi="Garamond" w:cs="Arial"/>
          <w:b/>
          <w:bCs/>
          <w:color w:val="000000" w:themeColor="text1"/>
          <w:sz w:val="24"/>
          <w:szCs w:val="24"/>
          <w:lang w:val="es-ES_tradnl"/>
        </w:rPr>
        <w:t xml:space="preserve"> </w:t>
      </w:r>
      <w:r w:rsidRPr="009759D3">
        <w:rPr>
          <w:rFonts w:ascii="Garamond" w:hAnsi="Garamond" w:cs="Arial"/>
          <w:color w:val="000000" w:themeColor="text1"/>
          <w:sz w:val="24"/>
          <w:szCs w:val="24"/>
          <w:lang w:val="es-ES_tradnl"/>
        </w:rPr>
        <w:t>Se modifica el epígrafe c) del apartado 12 del artículo 13 de la Ley 12/2012, de 21 de junio, contra el Dopaje en el Deporte, que quedará redactado en los siguientes términos:</w:t>
      </w:r>
    </w:p>
    <w:p w14:paraId="5B60B2C6"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27B72D4C" w14:textId="77777777" w:rsidR="002C55F3" w:rsidRPr="009759D3" w:rsidRDefault="002C55F3" w:rsidP="002C55F3">
      <w:pPr>
        <w:autoSpaceDE w:val="0"/>
        <w:autoSpaceDN w:val="0"/>
        <w:adjustRightInd w:val="0"/>
        <w:ind w:left="708"/>
        <w:jc w:val="both"/>
        <w:rPr>
          <w:rFonts w:ascii="Garamond" w:hAnsi="Garamond" w:cs="Arial"/>
          <w:color w:val="000000" w:themeColor="text1"/>
          <w:sz w:val="24"/>
          <w:szCs w:val="24"/>
          <w:lang w:val="es-ES_tradnl"/>
        </w:rPr>
      </w:pPr>
      <w:r w:rsidRPr="009759D3">
        <w:rPr>
          <w:rFonts w:ascii="Garamond" w:hAnsi="Garamond" w:cs="Arial"/>
          <w:color w:val="000000" w:themeColor="text1"/>
          <w:sz w:val="24"/>
          <w:szCs w:val="24"/>
        </w:rPr>
        <w:t>«</w:t>
      </w:r>
      <w:r w:rsidRPr="009759D3">
        <w:rPr>
          <w:rFonts w:ascii="Garamond" w:hAnsi="Garamond" w:cs="Arial"/>
          <w:color w:val="000000" w:themeColor="text1"/>
          <w:sz w:val="24"/>
          <w:szCs w:val="24"/>
          <w:lang w:val="es-ES_tradnl"/>
        </w:rPr>
        <w:t>c) Cuando la muestra B del o de la deportista se divida en dos frascos y el análisis del segundo frasco confirme la presencia de la sustancia prohibida o de sus metabolitos o marcadores encontrados en el primer frasco, o el o la deportista renuncie al análisis del frasco de confirmación de la muestra dividida</w:t>
      </w:r>
      <w:r w:rsidRPr="009759D3">
        <w:rPr>
          <w:rFonts w:ascii="Garamond" w:hAnsi="Garamond" w:cs="Arial"/>
          <w:color w:val="000000" w:themeColor="text1"/>
          <w:sz w:val="24"/>
          <w:szCs w:val="24"/>
        </w:rPr>
        <w:t>»</w:t>
      </w:r>
      <w:r w:rsidRPr="009759D3">
        <w:rPr>
          <w:rFonts w:ascii="Garamond" w:hAnsi="Garamond" w:cs="Arial"/>
          <w:color w:val="000000" w:themeColor="text1"/>
          <w:sz w:val="24"/>
          <w:szCs w:val="24"/>
          <w:lang w:val="es-ES_tradnl"/>
        </w:rPr>
        <w:t>.</w:t>
      </w:r>
    </w:p>
    <w:p w14:paraId="39518E82"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08D4D929" w14:textId="77777777" w:rsidR="002C55F3" w:rsidRPr="009759D3" w:rsidRDefault="002C55F3" w:rsidP="002C55F3">
      <w:pPr>
        <w:autoSpaceDE w:val="0"/>
        <w:autoSpaceDN w:val="0"/>
        <w:adjustRightInd w:val="0"/>
        <w:jc w:val="both"/>
        <w:rPr>
          <w:rFonts w:ascii="Garamond" w:hAnsi="Garamond" w:cs="Arial"/>
          <w:b/>
          <w:bCs/>
          <w:color w:val="000000" w:themeColor="text1"/>
          <w:sz w:val="24"/>
          <w:szCs w:val="24"/>
          <w:lang w:val="es-ES_tradnl"/>
        </w:rPr>
      </w:pPr>
      <w:r w:rsidRPr="009759D3">
        <w:rPr>
          <w:rFonts w:ascii="Garamond" w:hAnsi="Garamond" w:cs="Arial"/>
          <w:b/>
          <w:bCs/>
          <w:color w:val="000000" w:themeColor="text1"/>
          <w:sz w:val="24"/>
          <w:szCs w:val="24"/>
          <w:lang w:val="es-ES_tradnl"/>
        </w:rPr>
        <w:t>Artículo Sexto.</w:t>
      </w:r>
      <w:r w:rsidR="00082D20">
        <w:rPr>
          <w:rFonts w:ascii="Garamond" w:hAnsi="Garamond" w:cs="Arial"/>
          <w:b/>
          <w:bCs/>
          <w:color w:val="000000" w:themeColor="text1"/>
          <w:sz w:val="24"/>
          <w:szCs w:val="24"/>
          <w:lang w:val="es-ES_tradnl"/>
        </w:rPr>
        <w:t xml:space="preserve"> </w:t>
      </w:r>
      <w:r w:rsidRPr="009759D3">
        <w:rPr>
          <w:rFonts w:ascii="Garamond" w:hAnsi="Garamond" w:cs="Arial"/>
          <w:color w:val="000000" w:themeColor="text1"/>
          <w:sz w:val="24"/>
          <w:szCs w:val="24"/>
          <w:lang w:val="es-ES_tradnl"/>
        </w:rPr>
        <w:t>Se añade un párrafo en el apartado 13 del artículo 13 de la Ley 12/2012, de 21 de junio, contra el Dopaje en el Deporte, que quedará redactado en los siguientes términos:</w:t>
      </w:r>
    </w:p>
    <w:p w14:paraId="689BBBC1"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397ECE5B" w14:textId="77777777" w:rsidR="002C55F3" w:rsidRPr="009759D3" w:rsidRDefault="002C55F3" w:rsidP="002C55F3">
      <w:pPr>
        <w:autoSpaceDE w:val="0"/>
        <w:autoSpaceDN w:val="0"/>
        <w:adjustRightInd w:val="0"/>
        <w:ind w:left="708"/>
        <w:jc w:val="both"/>
        <w:rPr>
          <w:rFonts w:ascii="Garamond" w:hAnsi="Garamond" w:cs="Arial"/>
          <w:color w:val="000000" w:themeColor="text1"/>
          <w:sz w:val="24"/>
          <w:szCs w:val="24"/>
          <w:lang w:val="es-ES_tradnl"/>
        </w:rPr>
      </w:pPr>
      <w:r w:rsidRPr="009759D3">
        <w:rPr>
          <w:rFonts w:ascii="Garamond" w:hAnsi="Garamond" w:cs="Arial"/>
          <w:color w:val="000000" w:themeColor="text1"/>
          <w:sz w:val="24"/>
          <w:szCs w:val="24"/>
        </w:rPr>
        <w:t>«</w:t>
      </w:r>
      <w:r w:rsidRPr="009759D3">
        <w:rPr>
          <w:rFonts w:ascii="Garamond" w:hAnsi="Garamond" w:cs="Arial"/>
          <w:color w:val="000000" w:themeColor="text1"/>
          <w:sz w:val="24"/>
          <w:szCs w:val="24"/>
          <w:lang w:val="es-ES_tradnl"/>
        </w:rPr>
        <w:t>Igualmente se presume la validez científica de los datos, informaciones y resultados ofrecidos por el pasaporte biológico. Sobre la base de tales datos, informaciones y resultados o conclusiones ofrecidos por el pasaporte biológico, la organización antidopaje podrá considerar debidamente acreditada la existencia de una infracción de las normas de dopaje. Todo lo relacionado con el pasaporte biológico se regirá por las disposiciones establecidas al efecto en el Código Mundial Antidopaje y sus Estándares Internacionales vigentes en cada momento</w:t>
      </w:r>
      <w:r w:rsidRPr="009759D3">
        <w:rPr>
          <w:rFonts w:ascii="Garamond" w:hAnsi="Garamond" w:cs="Arial"/>
          <w:color w:val="000000" w:themeColor="text1"/>
          <w:sz w:val="24"/>
          <w:szCs w:val="24"/>
        </w:rPr>
        <w:t>»</w:t>
      </w:r>
      <w:r w:rsidRPr="009759D3">
        <w:rPr>
          <w:rFonts w:ascii="Garamond" w:hAnsi="Garamond" w:cs="Arial"/>
          <w:color w:val="000000" w:themeColor="text1"/>
          <w:sz w:val="24"/>
          <w:szCs w:val="24"/>
          <w:lang w:val="es-ES_tradnl"/>
        </w:rPr>
        <w:t>.</w:t>
      </w:r>
    </w:p>
    <w:p w14:paraId="50BF3A78"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5332FD63" w14:textId="77777777" w:rsidR="002C55F3" w:rsidRPr="009759D3" w:rsidRDefault="002C55F3" w:rsidP="002C55F3">
      <w:pPr>
        <w:autoSpaceDE w:val="0"/>
        <w:autoSpaceDN w:val="0"/>
        <w:adjustRightInd w:val="0"/>
        <w:jc w:val="both"/>
        <w:rPr>
          <w:rFonts w:ascii="Garamond" w:hAnsi="Garamond" w:cs="Arial"/>
          <w:b/>
          <w:bCs/>
          <w:color w:val="000000" w:themeColor="text1"/>
          <w:sz w:val="24"/>
          <w:szCs w:val="24"/>
          <w:lang w:val="es-ES_tradnl"/>
        </w:rPr>
      </w:pPr>
      <w:r w:rsidRPr="009759D3">
        <w:rPr>
          <w:rFonts w:ascii="Garamond" w:hAnsi="Garamond" w:cs="Arial"/>
          <w:b/>
          <w:bCs/>
          <w:color w:val="000000" w:themeColor="text1"/>
          <w:sz w:val="24"/>
          <w:szCs w:val="24"/>
          <w:lang w:val="es-ES_tradnl"/>
        </w:rPr>
        <w:t>Artículo Séptimo.</w:t>
      </w:r>
      <w:r w:rsidR="00082FA3">
        <w:rPr>
          <w:rFonts w:ascii="Garamond" w:hAnsi="Garamond" w:cs="Arial"/>
          <w:b/>
          <w:bCs/>
          <w:color w:val="000000" w:themeColor="text1"/>
          <w:sz w:val="24"/>
          <w:szCs w:val="24"/>
          <w:lang w:val="es-ES_tradnl"/>
        </w:rPr>
        <w:t xml:space="preserve"> </w:t>
      </w:r>
      <w:r w:rsidRPr="009759D3">
        <w:rPr>
          <w:rFonts w:ascii="Garamond" w:hAnsi="Garamond" w:cs="Arial"/>
          <w:color w:val="000000" w:themeColor="text1"/>
          <w:sz w:val="24"/>
          <w:szCs w:val="24"/>
          <w:lang w:val="es-ES_tradnl"/>
        </w:rPr>
        <w:t>Se añaden los párrafos 13 y 14 en el artículo 13 de la Ley 12/2012, de 21 de junio, contra el Dopaje en el Deporte, que quedarán redactados en los siguientes términos:</w:t>
      </w:r>
    </w:p>
    <w:p w14:paraId="662F991A"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4B1167FD" w14:textId="77777777" w:rsidR="002C55F3" w:rsidRPr="009759D3" w:rsidRDefault="002C55F3" w:rsidP="002C55F3">
      <w:pPr>
        <w:autoSpaceDE w:val="0"/>
        <w:autoSpaceDN w:val="0"/>
        <w:adjustRightInd w:val="0"/>
        <w:ind w:left="708"/>
        <w:jc w:val="both"/>
        <w:rPr>
          <w:rFonts w:ascii="Garamond" w:hAnsi="Garamond" w:cs="Arial"/>
          <w:color w:val="000000" w:themeColor="text1"/>
          <w:sz w:val="24"/>
          <w:szCs w:val="24"/>
          <w:lang w:val="es-ES_tradnl"/>
        </w:rPr>
      </w:pPr>
      <w:r w:rsidRPr="009759D3">
        <w:rPr>
          <w:rFonts w:ascii="Garamond" w:hAnsi="Garamond" w:cs="Arial"/>
          <w:color w:val="000000" w:themeColor="text1"/>
          <w:sz w:val="24"/>
          <w:szCs w:val="24"/>
        </w:rPr>
        <w:t>«</w:t>
      </w:r>
      <w:r w:rsidRPr="009759D3">
        <w:rPr>
          <w:rFonts w:ascii="Garamond" w:hAnsi="Garamond" w:cs="Arial"/>
          <w:color w:val="000000" w:themeColor="text1"/>
          <w:sz w:val="24"/>
          <w:szCs w:val="24"/>
          <w:lang w:val="es-ES_tradnl"/>
        </w:rPr>
        <w:t>14.- El incumplimiento de los Estándares Internacionales u otros aspectos contenidos en la normativa no invalidará los resultados anal</w:t>
      </w:r>
      <w:r w:rsidRPr="009759D3">
        <w:rPr>
          <w:rFonts w:ascii="Garamond" w:hAnsi="Garamond" w:cs="Garamond"/>
          <w:color w:val="000000" w:themeColor="text1"/>
          <w:sz w:val="24"/>
          <w:szCs w:val="24"/>
          <w:lang w:val="es-ES_tradnl"/>
        </w:rPr>
        <w:t>í</w:t>
      </w:r>
      <w:r w:rsidRPr="009759D3">
        <w:rPr>
          <w:rFonts w:ascii="Garamond" w:hAnsi="Garamond" w:cs="Arial"/>
          <w:color w:val="000000" w:themeColor="text1"/>
          <w:sz w:val="24"/>
          <w:szCs w:val="24"/>
          <w:lang w:val="es-ES_tradnl"/>
        </w:rPr>
        <w:t>ticos o cualesquiera otras pruebas de la vulneraci</w:t>
      </w:r>
      <w:r w:rsidRPr="009759D3">
        <w:rPr>
          <w:rFonts w:ascii="Garamond" w:hAnsi="Garamond" w:cs="Garamond"/>
          <w:color w:val="000000" w:themeColor="text1"/>
          <w:sz w:val="24"/>
          <w:szCs w:val="24"/>
          <w:lang w:val="es-ES_tradnl"/>
        </w:rPr>
        <w:t>ó</w:t>
      </w:r>
      <w:r w:rsidRPr="009759D3">
        <w:rPr>
          <w:rFonts w:ascii="Garamond" w:hAnsi="Garamond" w:cs="Arial"/>
          <w:color w:val="000000" w:themeColor="text1"/>
          <w:sz w:val="24"/>
          <w:szCs w:val="24"/>
          <w:lang w:val="es-ES_tradnl"/>
        </w:rPr>
        <w:t>n de una norma antidopaje.  En tales casos, si la persona afectada demuestra que del incumplimiento de alguna de las disposiciones indicadas en los Estándares Internacionales o normativa podría razonablemente haber resultado un resultado analítico adverso</w:t>
      </w:r>
      <w:r w:rsidRPr="009759D3">
        <w:rPr>
          <w:rFonts w:ascii="Garamond" w:hAnsi="Garamond" w:cs="Arial"/>
          <w:i/>
          <w:iCs/>
          <w:color w:val="000000" w:themeColor="text1"/>
          <w:sz w:val="24"/>
          <w:szCs w:val="24"/>
          <w:lang w:val="es-ES_tradnl"/>
        </w:rPr>
        <w:t xml:space="preserve"> </w:t>
      </w:r>
      <w:r w:rsidRPr="009759D3">
        <w:rPr>
          <w:rFonts w:ascii="Garamond" w:hAnsi="Garamond" w:cs="Arial"/>
          <w:color w:val="000000" w:themeColor="text1"/>
          <w:sz w:val="24"/>
          <w:szCs w:val="24"/>
          <w:lang w:val="es-ES_tradnl"/>
        </w:rPr>
        <w:t>o una localización fallida, recaerá́ en la organizaci</w:t>
      </w:r>
      <w:r w:rsidRPr="009759D3">
        <w:rPr>
          <w:rFonts w:ascii="Garamond" w:hAnsi="Garamond" w:cs="Garamond"/>
          <w:color w:val="000000" w:themeColor="text1"/>
          <w:sz w:val="24"/>
          <w:szCs w:val="24"/>
          <w:lang w:val="es-ES_tradnl"/>
        </w:rPr>
        <w:t>ó</w:t>
      </w:r>
      <w:r w:rsidRPr="009759D3">
        <w:rPr>
          <w:rFonts w:ascii="Garamond" w:hAnsi="Garamond" w:cs="Arial"/>
          <w:color w:val="000000" w:themeColor="text1"/>
          <w:sz w:val="24"/>
          <w:szCs w:val="24"/>
          <w:lang w:val="es-ES_tradnl"/>
        </w:rPr>
        <w:t>n antidopaje</w:t>
      </w:r>
      <w:r w:rsidRPr="009759D3">
        <w:rPr>
          <w:rFonts w:ascii="Garamond" w:hAnsi="Garamond" w:cs="Arial"/>
          <w:i/>
          <w:iCs/>
          <w:color w:val="000000" w:themeColor="text1"/>
          <w:sz w:val="24"/>
          <w:szCs w:val="24"/>
          <w:lang w:val="es-ES_tradnl"/>
        </w:rPr>
        <w:t xml:space="preserve"> </w:t>
      </w:r>
      <w:r w:rsidRPr="009759D3">
        <w:rPr>
          <w:rFonts w:ascii="Garamond" w:hAnsi="Garamond" w:cs="Arial"/>
          <w:color w:val="000000" w:themeColor="text1"/>
          <w:sz w:val="24"/>
          <w:szCs w:val="24"/>
          <w:lang w:val="es-ES_tradnl"/>
        </w:rPr>
        <w:t xml:space="preserve">la carga de probar que ese incumplimiento no ha causado el resultado analítico adverso o la localización fallida. En tales supuestos, la </w:t>
      </w:r>
      <w:r w:rsidRPr="009759D3">
        <w:rPr>
          <w:rFonts w:ascii="Garamond" w:hAnsi="Garamond" w:cs="Arial"/>
          <w:color w:val="000000" w:themeColor="text1"/>
          <w:sz w:val="24"/>
          <w:szCs w:val="24"/>
          <w:lang w:val="es-ES_tradnl"/>
        </w:rPr>
        <w:lastRenderedPageBreak/>
        <w:t>organización antidopaje deberá atenerse a lo expresamente previsto en el artículo 3.2.3 del Código Mundial Antidopaje.</w:t>
      </w:r>
    </w:p>
    <w:p w14:paraId="75CF442D" w14:textId="77777777" w:rsidR="002C55F3" w:rsidRPr="009759D3" w:rsidRDefault="002C55F3" w:rsidP="002C55F3">
      <w:pPr>
        <w:autoSpaceDE w:val="0"/>
        <w:autoSpaceDN w:val="0"/>
        <w:adjustRightInd w:val="0"/>
        <w:ind w:left="708"/>
        <w:jc w:val="both"/>
        <w:rPr>
          <w:rFonts w:ascii="Garamond" w:hAnsi="Garamond" w:cs="Arial"/>
          <w:color w:val="000000" w:themeColor="text1"/>
          <w:sz w:val="24"/>
          <w:szCs w:val="24"/>
          <w:lang w:val="es-ES_tradnl"/>
        </w:rPr>
      </w:pPr>
      <w:r w:rsidRPr="009759D3">
        <w:rPr>
          <w:rFonts w:ascii="Garamond" w:hAnsi="Garamond" w:cs="Arial"/>
          <w:color w:val="000000" w:themeColor="text1"/>
          <w:sz w:val="24"/>
          <w:szCs w:val="24"/>
          <w:lang w:val="es-ES_tradnl"/>
        </w:rPr>
        <w:t>15.- En los procedimientos de control de dopaje y de gestión de resultados llevados conforme a lo previsto en la presente Ley serán de aplicación los Estándares Internacionales y Documentos Técnicos que hayan sido establecidos en cada momento y publicados por la Agencia Mundial Antidopaje</w:t>
      </w:r>
      <w:r w:rsidRPr="009759D3">
        <w:rPr>
          <w:rFonts w:ascii="Garamond" w:hAnsi="Garamond" w:cs="Arial"/>
          <w:color w:val="000000" w:themeColor="text1"/>
          <w:sz w:val="24"/>
          <w:szCs w:val="24"/>
        </w:rPr>
        <w:t>»</w:t>
      </w:r>
      <w:r w:rsidRPr="009759D3">
        <w:rPr>
          <w:rFonts w:ascii="Garamond" w:hAnsi="Garamond" w:cs="Arial"/>
          <w:color w:val="000000" w:themeColor="text1"/>
          <w:sz w:val="24"/>
          <w:szCs w:val="24"/>
          <w:lang w:val="es-ES_tradnl"/>
        </w:rPr>
        <w:t>.</w:t>
      </w:r>
    </w:p>
    <w:p w14:paraId="2B776870"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1EEE4E5B" w14:textId="77777777" w:rsidR="002C55F3" w:rsidRPr="009759D3" w:rsidRDefault="002C55F3" w:rsidP="002C55F3">
      <w:pPr>
        <w:autoSpaceDE w:val="0"/>
        <w:autoSpaceDN w:val="0"/>
        <w:adjustRightInd w:val="0"/>
        <w:jc w:val="both"/>
        <w:rPr>
          <w:rFonts w:ascii="Garamond" w:hAnsi="Garamond" w:cs="Arial"/>
          <w:b/>
          <w:bCs/>
          <w:color w:val="000000" w:themeColor="text1"/>
          <w:sz w:val="24"/>
          <w:szCs w:val="24"/>
          <w:lang w:val="es-ES_tradnl"/>
        </w:rPr>
      </w:pPr>
      <w:r w:rsidRPr="009759D3">
        <w:rPr>
          <w:rFonts w:ascii="Garamond" w:hAnsi="Garamond" w:cs="Arial"/>
          <w:b/>
          <w:bCs/>
          <w:color w:val="000000" w:themeColor="text1"/>
          <w:sz w:val="24"/>
          <w:szCs w:val="24"/>
          <w:lang w:val="es-ES_tradnl"/>
        </w:rPr>
        <w:t>Artículo Octavo.</w:t>
      </w:r>
      <w:r w:rsidR="00082D20">
        <w:rPr>
          <w:rFonts w:ascii="Garamond" w:hAnsi="Garamond" w:cs="Arial"/>
          <w:b/>
          <w:bCs/>
          <w:color w:val="000000" w:themeColor="text1"/>
          <w:sz w:val="24"/>
          <w:szCs w:val="24"/>
          <w:lang w:val="es-ES_tradnl"/>
        </w:rPr>
        <w:t xml:space="preserve"> </w:t>
      </w:r>
      <w:r w:rsidRPr="009759D3">
        <w:rPr>
          <w:rFonts w:ascii="Garamond" w:hAnsi="Garamond" w:cs="Arial"/>
          <w:color w:val="000000" w:themeColor="text1"/>
          <w:sz w:val="24"/>
          <w:szCs w:val="24"/>
          <w:lang w:val="es-ES_tradnl"/>
        </w:rPr>
        <w:t>Se modifican los apartados 8 y 9 del artículo 14 de la Ley 12/2012, de 21 de junio, contra el Dopaje en el Deporte, que quedarán redactados en los siguientes términos:</w:t>
      </w:r>
    </w:p>
    <w:p w14:paraId="3740BF58"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49F954FB" w14:textId="77777777" w:rsidR="002C55F3" w:rsidRPr="009759D3" w:rsidRDefault="002C55F3" w:rsidP="002C55F3">
      <w:pPr>
        <w:autoSpaceDE w:val="0"/>
        <w:autoSpaceDN w:val="0"/>
        <w:adjustRightInd w:val="0"/>
        <w:ind w:left="708"/>
        <w:jc w:val="both"/>
        <w:rPr>
          <w:rFonts w:ascii="Garamond" w:hAnsi="Garamond" w:cs="Arial"/>
          <w:color w:val="000000" w:themeColor="text1"/>
          <w:sz w:val="24"/>
          <w:szCs w:val="24"/>
          <w:lang w:val="es-ES_tradnl"/>
        </w:rPr>
      </w:pPr>
      <w:r w:rsidRPr="009759D3">
        <w:rPr>
          <w:rFonts w:ascii="Garamond" w:hAnsi="Garamond" w:cs="Arial"/>
          <w:color w:val="000000" w:themeColor="text1"/>
          <w:sz w:val="24"/>
          <w:szCs w:val="24"/>
        </w:rPr>
        <w:t>«</w:t>
      </w:r>
      <w:r w:rsidRPr="009759D3">
        <w:rPr>
          <w:rFonts w:ascii="Garamond" w:hAnsi="Garamond" w:cs="Arial"/>
          <w:color w:val="000000" w:themeColor="text1"/>
          <w:sz w:val="24"/>
          <w:szCs w:val="24"/>
          <w:lang w:val="es-ES_tradnl"/>
        </w:rPr>
        <w:t>8.- En relación con la validez, vigencia y eficacia de autorizaciones de uso terapéutico emitidas por parte de una entidad u organismo de otra Comunidades Autonómicas, estatal o internacional resultará de aplicación lo previsto en el artículo 4.4 del Código Mundial Antidopaje y en los Estándares Internacionales. En el caso de deportistas federados o federadas de nivel internacional la concesión de autorizaciones de uso terapéutico corresponderá a la federación internacional conforme a sus propias normas. Cualquier persona que sea sometida a un control de dopaje dentro del ámbito de aplicación de la presente Ley deberá obligatoriamente informar en el acto del control antidopaje respecto de las posibles autorizaciones de uso terapéutico de que dispusiese vigentes.</w:t>
      </w:r>
    </w:p>
    <w:p w14:paraId="7D3DFBFE" w14:textId="77777777" w:rsidR="002C55F3" w:rsidRPr="009759D3" w:rsidRDefault="002C55F3" w:rsidP="002C55F3">
      <w:pPr>
        <w:autoSpaceDE w:val="0"/>
        <w:autoSpaceDN w:val="0"/>
        <w:adjustRightInd w:val="0"/>
        <w:ind w:left="708"/>
        <w:jc w:val="both"/>
        <w:rPr>
          <w:rFonts w:ascii="Garamond" w:hAnsi="Garamond" w:cs="Arial"/>
          <w:color w:val="000000" w:themeColor="text1"/>
          <w:sz w:val="24"/>
          <w:szCs w:val="24"/>
          <w:lang w:val="es-ES_tradnl"/>
        </w:rPr>
      </w:pPr>
      <w:r w:rsidRPr="009759D3">
        <w:rPr>
          <w:rFonts w:ascii="Garamond" w:hAnsi="Garamond" w:cs="Arial"/>
          <w:color w:val="000000" w:themeColor="text1"/>
          <w:sz w:val="24"/>
          <w:szCs w:val="24"/>
          <w:lang w:val="es-ES_tradnl"/>
        </w:rPr>
        <w:t>9.- Los órganos antidopaje y los órganos disciplinarios o sancionadores del País Vasco no podrán considerar válidas las autorizaciones de uso terapéutico o las declaraciones citadas en el apartado anterior que no se encuentren debidamente registradas en el Comité Vasco de Autorizaciones de Uso Terapéutico o aquellas que no resultasen válidas en base a lo previsto en el Código Mundial Antidopaje y en los Estándares Internacionales. Tampoco podrán considerar válidas aquellas autorizaciones o declaraciones que, debidamente registradas, se hayan obtenido fraudulentamente o se hayan aplicado a las y los deportistas incumpliendo sus condiciones en lo relativo a las dosis, vías de administración o plazo de tratamiento. En los procedimientos de solicitud, evaluación, resolución y revisión de autorizaciones de uso terapéutico tramitadas ante el Comité Vasco de Autorizaciones de Uso Terapéutico conforme a lo previsto en la presente Ley será de aplicación el Anexo II de la Convención Internacional contra el dopaje en el deporte y los Estándares Internacionales establecidos y publicados en cada momento por la Agencia Mundial Antidopaje</w:t>
      </w:r>
      <w:r w:rsidRPr="009759D3">
        <w:rPr>
          <w:rFonts w:ascii="Garamond" w:hAnsi="Garamond" w:cs="Arial"/>
          <w:color w:val="000000" w:themeColor="text1"/>
          <w:sz w:val="24"/>
          <w:szCs w:val="24"/>
        </w:rPr>
        <w:t>»</w:t>
      </w:r>
      <w:r w:rsidRPr="009759D3">
        <w:rPr>
          <w:rFonts w:ascii="Garamond" w:hAnsi="Garamond" w:cs="Arial"/>
          <w:color w:val="000000" w:themeColor="text1"/>
          <w:sz w:val="24"/>
          <w:szCs w:val="24"/>
          <w:lang w:val="es-ES_tradnl"/>
        </w:rPr>
        <w:t>.</w:t>
      </w:r>
    </w:p>
    <w:p w14:paraId="4DF9452B"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6EDF733C" w14:textId="77777777" w:rsidR="002C55F3" w:rsidRPr="009759D3" w:rsidRDefault="002C55F3" w:rsidP="002C55F3">
      <w:pPr>
        <w:autoSpaceDE w:val="0"/>
        <w:autoSpaceDN w:val="0"/>
        <w:adjustRightInd w:val="0"/>
        <w:jc w:val="both"/>
        <w:rPr>
          <w:rFonts w:ascii="Garamond" w:hAnsi="Garamond" w:cs="Arial"/>
          <w:b/>
          <w:bCs/>
          <w:color w:val="000000" w:themeColor="text1"/>
          <w:sz w:val="24"/>
          <w:szCs w:val="24"/>
          <w:lang w:val="es-ES_tradnl"/>
        </w:rPr>
      </w:pPr>
      <w:r w:rsidRPr="009759D3">
        <w:rPr>
          <w:rFonts w:ascii="Garamond" w:hAnsi="Garamond" w:cs="Arial"/>
          <w:b/>
          <w:bCs/>
          <w:color w:val="000000" w:themeColor="text1"/>
          <w:sz w:val="24"/>
          <w:szCs w:val="24"/>
          <w:lang w:val="es-ES_tradnl"/>
        </w:rPr>
        <w:t>Artículo Noveno.</w:t>
      </w:r>
      <w:r w:rsidR="004A165A">
        <w:rPr>
          <w:rFonts w:ascii="Garamond" w:hAnsi="Garamond" w:cs="Arial"/>
          <w:b/>
          <w:bCs/>
          <w:color w:val="000000" w:themeColor="text1"/>
          <w:sz w:val="24"/>
          <w:szCs w:val="24"/>
          <w:lang w:val="es-ES_tradnl"/>
        </w:rPr>
        <w:t xml:space="preserve"> </w:t>
      </w:r>
      <w:r w:rsidRPr="009759D3">
        <w:rPr>
          <w:rFonts w:ascii="Garamond" w:hAnsi="Garamond" w:cs="Arial"/>
          <w:color w:val="000000" w:themeColor="text1"/>
          <w:sz w:val="24"/>
          <w:szCs w:val="24"/>
          <w:lang w:val="es-ES_tradnl"/>
        </w:rPr>
        <w:t>Se añade un apartado 8º en el artículo 16 de la Ley 12/2012, de 21 de junio, contra el Dopaje en el Deporte, que quedará redactado en los siguientes términos:</w:t>
      </w:r>
    </w:p>
    <w:p w14:paraId="0D54C53A"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081F0270" w14:textId="77777777" w:rsidR="002C55F3" w:rsidRPr="009759D3" w:rsidRDefault="002C55F3" w:rsidP="002C55F3">
      <w:pPr>
        <w:autoSpaceDE w:val="0"/>
        <w:autoSpaceDN w:val="0"/>
        <w:adjustRightInd w:val="0"/>
        <w:ind w:left="708"/>
        <w:jc w:val="both"/>
        <w:rPr>
          <w:rFonts w:ascii="Garamond" w:hAnsi="Garamond" w:cs="Arial"/>
          <w:color w:val="000000" w:themeColor="text1"/>
          <w:sz w:val="24"/>
          <w:szCs w:val="24"/>
        </w:rPr>
      </w:pPr>
      <w:r w:rsidRPr="009759D3">
        <w:rPr>
          <w:rFonts w:ascii="Garamond" w:hAnsi="Garamond" w:cs="Arial"/>
          <w:color w:val="000000" w:themeColor="text1"/>
          <w:sz w:val="24"/>
          <w:szCs w:val="24"/>
        </w:rPr>
        <w:t>«</w:t>
      </w:r>
      <w:r w:rsidRPr="009759D3">
        <w:rPr>
          <w:rFonts w:ascii="Garamond" w:hAnsi="Garamond" w:cs="Arial"/>
          <w:color w:val="000000" w:themeColor="text1"/>
          <w:sz w:val="24"/>
          <w:szCs w:val="24"/>
          <w:lang w:val="es-ES_tradnl"/>
        </w:rPr>
        <w:t xml:space="preserve">8.- Tras haberse comunicado por un laboratorio que el resultado de un control de dopaje es negativo o que el resultado no haya dado lugar a una acusación de infracción </w:t>
      </w:r>
      <w:r w:rsidRPr="009759D3">
        <w:rPr>
          <w:rFonts w:ascii="Garamond" w:hAnsi="Garamond" w:cs="Arial"/>
          <w:color w:val="000000" w:themeColor="text1"/>
          <w:sz w:val="24"/>
          <w:szCs w:val="24"/>
          <w:lang w:val="es-ES_tradnl"/>
        </w:rPr>
        <w:lastRenderedPageBreak/>
        <w:t>de las normas de dopaje, la muestra podrá́ almacenarse y someterse a an</w:t>
      </w:r>
      <w:r w:rsidRPr="009759D3">
        <w:rPr>
          <w:rFonts w:ascii="Garamond" w:hAnsi="Garamond" w:cs="Garamond"/>
          <w:color w:val="000000" w:themeColor="text1"/>
          <w:sz w:val="24"/>
          <w:szCs w:val="24"/>
          <w:lang w:val="es-ES_tradnl"/>
        </w:rPr>
        <w:t>á</w:t>
      </w:r>
      <w:r w:rsidRPr="009759D3">
        <w:rPr>
          <w:rFonts w:ascii="Garamond" w:hAnsi="Garamond" w:cs="Arial"/>
          <w:color w:val="000000" w:themeColor="text1"/>
          <w:sz w:val="24"/>
          <w:szCs w:val="24"/>
          <w:lang w:val="es-ES_tradnl"/>
        </w:rPr>
        <w:t>lisis nuevos o adicionales en cualquier momento tanto a instancia de la organizaci</w:t>
      </w:r>
      <w:r w:rsidRPr="009759D3">
        <w:rPr>
          <w:rFonts w:ascii="Garamond" w:hAnsi="Garamond" w:cs="Garamond"/>
          <w:color w:val="000000" w:themeColor="text1"/>
          <w:sz w:val="24"/>
          <w:szCs w:val="24"/>
          <w:lang w:val="es-ES_tradnl"/>
        </w:rPr>
        <w:t>ó</w:t>
      </w:r>
      <w:r w:rsidRPr="009759D3">
        <w:rPr>
          <w:rFonts w:ascii="Garamond" w:hAnsi="Garamond" w:cs="Arial"/>
          <w:color w:val="000000" w:themeColor="text1"/>
          <w:sz w:val="24"/>
          <w:szCs w:val="24"/>
          <w:lang w:val="es-ES_tradnl"/>
        </w:rPr>
        <w:t>n antidopaje titular del control antidopaje como de la Agencia Mundial Antidopaje. En tales supuestos, se deber</w:t>
      </w:r>
      <w:r w:rsidRPr="009759D3">
        <w:rPr>
          <w:rFonts w:ascii="Garamond" w:hAnsi="Garamond" w:cs="Garamond"/>
          <w:color w:val="000000" w:themeColor="text1"/>
          <w:sz w:val="24"/>
          <w:szCs w:val="24"/>
          <w:lang w:val="es-ES_tradnl"/>
        </w:rPr>
        <w:t>á</w:t>
      </w:r>
      <w:r w:rsidRPr="009759D3">
        <w:rPr>
          <w:rFonts w:ascii="Garamond" w:hAnsi="Garamond" w:cs="Arial"/>
          <w:color w:val="000000" w:themeColor="text1"/>
          <w:sz w:val="24"/>
          <w:szCs w:val="24"/>
          <w:lang w:val="es-ES_tradnl"/>
        </w:rPr>
        <w:t xml:space="preserve"> proceder conforme a lo previsto en los Estándares Internacionales que hayan sido establecidos en cada momento y publicados por la Agencia Mundial Antidopaje</w:t>
      </w:r>
      <w:r w:rsidRPr="009759D3">
        <w:rPr>
          <w:rFonts w:ascii="Garamond" w:hAnsi="Garamond" w:cs="Arial"/>
          <w:color w:val="000000" w:themeColor="text1"/>
          <w:sz w:val="24"/>
          <w:szCs w:val="24"/>
        </w:rPr>
        <w:t>»</w:t>
      </w:r>
      <w:r w:rsidRPr="009759D3">
        <w:rPr>
          <w:rFonts w:ascii="Garamond" w:hAnsi="Garamond" w:cs="Arial"/>
          <w:color w:val="000000" w:themeColor="text1"/>
          <w:sz w:val="24"/>
          <w:szCs w:val="24"/>
          <w:lang w:val="es-ES_tradnl"/>
        </w:rPr>
        <w:t>.</w:t>
      </w:r>
    </w:p>
    <w:p w14:paraId="28AD374A"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182ED8FE" w14:textId="77777777" w:rsidR="002C55F3" w:rsidRPr="009759D3" w:rsidRDefault="002C55F3" w:rsidP="002C55F3">
      <w:pPr>
        <w:autoSpaceDE w:val="0"/>
        <w:autoSpaceDN w:val="0"/>
        <w:adjustRightInd w:val="0"/>
        <w:jc w:val="both"/>
        <w:rPr>
          <w:rFonts w:ascii="Garamond" w:hAnsi="Garamond" w:cs="Arial"/>
          <w:b/>
          <w:bCs/>
          <w:color w:val="000000" w:themeColor="text1"/>
          <w:sz w:val="24"/>
          <w:szCs w:val="24"/>
          <w:lang w:val="es-ES_tradnl"/>
        </w:rPr>
      </w:pPr>
      <w:r w:rsidRPr="009759D3">
        <w:rPr>
          <w:rFonts w:ascii="Garamond" w:hAnsi="Garamond" w:cs="Arial"/>
          <w:b/>
          <w:bCs/>
          <w:color w:val="000000" w:themeColor="text1"/>
          <w:sz w:val="24"/>
          <w:szCs w:val="24"/>
          <w:lang w:val="es-ES_tradnl"/>
        </w:rPr>
        <w:t>Artículo Décimo.</w:t>
      </w:r>
      <w:r w:rsidR="000B3743">
        <w:rPr>
          <w:rFonts w:ascii="Garamond" w:hAnsi="Garamond" w:cs="Arial"/>
          <w:b/>
          <w:bCs/>
          <w:color w:val="000000" w:themeColor="text1"/>
          <w:sz w:val="24"/>
          <w:szCs w:val="24"/>
          <w:lang w:val="es-ES_tradnl"/>
        </w:rPr>
        <w:t xml:space="preserve"> </w:t>
      </w:r>
      <w:r w:rsidRPr="009759D3">
        <w:rPr>
          <w:rFonts w:ascii="Garamond" w:hAnsi="Garamond" w:cs="Arial"/>
          <w:color w:val="000000" w:themeColor="text1"/>
          <w:sz w:val="24"/>
          <w:szCs w:val="24"/>
          <w:lang w:val="es-ES_tradnl"/>
        </w:rPr>
        <w:t>Se añade un párrafo en el apartado 3º del artículo 18 de la Ley 12/2012, de 21 de junio, contra el Dopaje en el Deporte, que quedará redactado en los siguientes términos:</w:t>
      </w:r>
    </w:p>
    <w:p w14:paraId="58474A36"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41F6CD76" w14:textId="77777777" w:rsidR="002C55F3" w:rsidRPr="009759D3" w:rsidRDefault="002C55F3" w:rsidP="002C55F3">
      <w:pPr>
        <w:autoSpaceDE w:val="0"/>
        <w:autoSpaceDN w:val="0"/>
        <w:adjustRightInd w:val="0"/>
        <w:ind w:left="708"/>
        <w:jc w:val="both"/>
        <w:rPr>
          <w:rFonts w:ascii="Garamond" w:hAnsi="Garamond" w:cs="Arial"/>
          <w:color w:val="000000" w:themeColor="text1"/>
          <w:sz w:val="24"/>
          <w:szCs w:val="24"/>
          <w:lang w:val="es-ES_tradnl"/>
        </w:rPr>
      </w:pPr>
      <w:r w:rsidRPr="009759D3">
        <w:rPr>
          <w:rFonts w:ascii="Garamond" w:hAnsi="Garamond" w:cs="Arial"/>
          <w:color w:val="000000" w:themeColor="text1"/>
          <w:sz w:val="24"/>
          <w:szCs w:val="24"/>
        </w:rPr>
        <w:t>«</w:t>
      </w:r>
      <w:r w:rsidRPr="009759D3">
        <w:rPr>
          <w:rFonts w:ascii="Garamond" w:hAnsi="Garamond" w:cs="Arial"/>
          <w:color w:val="000000" w:themeColor="text1"/>
          <w:sz w:val="24"/>
          <w:szCs w:val="24"/>
          <w:lang w:val="es-ES_tradnl"/>
        </w:rPr>
        <w:t>Igualmente, las infracciones de las normas de dopaje podrán llegar a acreditarse a través de mecanismos de pruebas consistentes en controles forenses fiables realizados por laboratorios distintos a los acreditados u homologados por las autoridades antidopaje</w:t>
      </w:r>
      <w:r w:rsidRPr="009759D3">
        <w:rPr>
          <w:rFonts w:ascii="Garamond" w:hAnsi="Garamond" w:cs="Arial"/>
          <w:color w:val="000000" w:themeColor="text1"/>
          <w:sz w:val="24"/>
          <w:szCs w:val="24"/>
        </w:rPr>
        <w:t>»</w:t>
      </w:r>
      <w:r w:rsidRPr="009759D3">
        <w:rPr>
          <w:rFonts w:ascii="Garamond" w:hAnsi="Garamond" w:cs="Arial"/>
          <w:color w:val="000000" w:themeColor="text1"/>
          <w:sz w:val="24"/>
          <w:szCs w:val="24"/>
          <w:lang w:val="es-ES_tradnl"/>
        </w:rPr>
        <w:t xml:space="preserve">. </w:t>
      </w:r>
    </w:p>
    <w:p w14:paraId="34350B86"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7207DD7B" w14:textId="77777777" w:rsidR="002C55F3" w:rsidRPr="009759D3" w:rsidRDefault="00082FA3" w:rsidP="002C55F3">
      <w:pPr>
        <w:autoSpaceDE w:val="0"/>
        <w:autoSpaceDN w:val="0"/>
        <w:adjustRightInd w:val="0"/>
        <w:jc w:val="both"/>
        <w:rPr>
          <w:rFonts w:ascii="Garamond" w:hAnsi="Garamond" w:cs="Arial"/>
          <w:b/>
          <w:bCs/>
          <w:color w:val="000000" w:themeColor="text1"/>
          <w:sz w:val="24"/>
          <w:szCs w:val="24"/>
          <w:lang w:val="es-ES_tradnl"/>
        </w:rPr>
      </w:pPr>
      <w:r>
        <w:rPr>
          <w:rFonts w:ascii="Garamond" w:hAnsi="Garamond" w:cs="Arial"/>
          <w:b/>
          <w:bCs/>
          <w:color w:val="000000" w:themeColor="text1"/>
          <w:sz w:val="24"/>
          <w:szCs w:val="24"/>
          <w:lang w:val="es-ES_tradnl"/>
        </w:rPr>
        <w:t>Artículo Undécimo.</w:t>
      </w:r>
      <w:r w:rsidR="002C55F3" w:rsidRPr="009759D3">
        <w:rPr>
          <w:rFonts w:ascii="Garamond" w:hAnsi="Garamond" w:cs="Arial"/>
          <w:b/>
          <w:bCs/>
          <w:color w:val="000000" w:themeColor="text1"/>
          <w:sz w:val="24"/>
          <w:szCs w:val="24"/>
          <w:lang w:val="es-ES_tradnl"/>
        </w:rPr>
        <w:t xml:space="preserve"> </w:t>
      </w:r>
      <w:r w:rsidR="002C55F3" w:rsidRPr="009759D3">
        <w:rPr>
          <w:rFonts w:ascii="Garamond" w:hAnsi="Garamond" w:cs="Arial"/>
          <w:color w:val="000000" w:themeColor="text1"/>
          <w:sz w:val="24"/>
          <w:szCs w:val="24"/>
          <w:lang w:val="es-ES_tradnl"/>
        </w:rPr>
        <w:t>Se añade un apartado 7 en el artículo 18 de la Ley 12/2012, de 21 de junio, contra el Dopaje en el Deporte, que quedará redactado en los siguientes términos:</w:t>
      </w:r>
    </w:p>
    <w:p w14:paraId="32C8B4AA"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58C7B6B2" w14:textId="77777777" w:rsidR="002C55F3" w:rsidRPr="009759D3" w:rsidRDefault="002C55F3" w:rsidP="002C55F3">
      <w:pPr>
        <w:autoSpaceDE w:val="0"/>
        <w:autoSpaceDN w:val="0"/>
        <w:adjustRightInd w:val="0"/>
        <w:ind w:left="708"/>
        <w:jc w:val="both"/>
        <w:rPr>
          <w:rFonts w:ascii="Garamond" w:hAnsi="Garamond" w:cs="Arial"/>
          <w:color w:val="000000" w:themeColor="text1"/>
          <w:sz w:val="24"/>
          <w:szCs w:val="24"/>
          <w:lang w:val="es-ES_tradnl"/>
        </w:rPr>
      </w:pPr>
      <w:r w:rsidRPr="009759D3">
        <w:rPr>
          <w:rFonts w:ascii="Garamond" w:hAnsi="Garamond" w:cs="Arial"/>
          <w:color w:val="000000" w:themeColor="text1"/>
          <w:sz w:val="24"/>
          <w:szCs w:val="24"/>
        </w:rPr>
        <w:t>«</w:t>
      </w:r>
      <w:r w:rsidRPr="009759D3">
        <w:rPr>
          <w:rFonts w:ascii="Garamond" w:hAnsi="Garamond" w:cs="Arial"/>
          <w:color w:val="000000" w:themeColor="text1"/>
          <w:sz w:val="24"/>
          <w:szCs w:val="24"/>
          <w:lang w:val="es-ES_tradnl"/>
        </w:rPr>
        <w:t>7.- Las muestras obtenidas en los controles de dopaje serán cedidas por el o la deportista a la autoridad antidopaje que las tome durante un periodo de diez años. Dichas muestras, que deberán ser debidamente conservadas, podrán ser objeto de análisis inmediatamente después de su recogida, o en cualquier momento posterior, a instancia, bien de la autoridad de dopaje que las tomo, bien de la Agencia Mundial Antidopaje, o bien de otra autoridad antidopaje que lo solicitara si acreditase justa causa, con el fin de detectar la sustancia y métodos prohibidos o para elaborar un perfil de los parámetros biológicos del o de la deportista</w:t>
      </w:r>
      <w:r w:rsidRPr="009759D3">
        <w:rPr>
          <w:rFonts w:ascii="Garamond" w:hAnsi="Garamond" w:cs="Arial"/>
          <w:color w:val="000000" w:themeColor="text1"/>
          <w:sz w:val="24"/>
          <w:szCs w:val="24"/>
        </w:rPr>
        <w:t>»</w:t>
      </w:r>
      <w:r w:rsidRPr="009759D3">
        <w:rPr>
          <w:rFonts w:ascii="Garamond" w:hAnsi="Garamond" w:cs="Arial"/>
          <w:color w:val="000000" w:themeColor="text1"/>
          <w:sz w:val="24"/>
          <w:szCs w:val="24"/>
          <w:lang w:val="es-ES_tradnl"/>
        </w:rPr>
        <w:t>.</w:t>
      </w:r>
    </w:p>
    <w:p w14:paraId="00B8BBCF"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4A09B251" w14:textId="77777777" w:rsidR="002C55F3" w:rsidRPr="009759D3" w:rsidRDefault="000B3743" w:rsidP="002C55F3">
      <w:pPr>
        <w:autoSpaceDE w:val="0"/>
        <w:autoSpaceDN w:val="0"/>
        <w:adjustRightInd w:val="0"/>
        <w:jc w:val="both"/>
        <w:rPr>
          <w:rFonts w:ascii="Garamond" w:hAnsi="Garamond" w:cs="Arial"/>
          <w:b/>
          <w:bCs/>
          <w:color w:val="000000" w:themeColor="text1"/>
          <w:sz w:val="24"/>
          <w:szCs w:val="24"/>
          <w:lang w:val="es-ES_tradnl"/>
        </w:rPr>
      </w:pPr>
      <w:r>
        <w:rPr>
          <w:rFonts w:ascii="Garamond" w:hAnsi="Garamond" w:cs="Arial"/>
          <w:b/>
          <w:bCs/>
          <w:color w:val="000000" w:themeColor="text1"/>
          <w:sz w:val="24"/>
          <w:szCs w:val="24"/>
          <w:lang w:val="es-ES_tradnl"/>
        </w:rPr>
        <w:t>Artículo Duodécimo.</w:t>
      </w:r>
      <w:r w:rsidR="002C55F3" w:rsidRPr="009759D3">
        <w:rPr>
          <w:rFonts w:ascii="Garamond" w:hAnsi="Garamond" w:cs="Arial"/>
          <w:b/>
          <w:bCs/>
          <w:color w:val="000000" w:themeColor="text1"/>
          <w:sz w:val="24"/>
          <w:szCs w:val="24"/>
          <w:lang w:val="es-ES_tradnl"/>
        </w:rPr>
        <w:t xml:space="preserve"> </w:t>
      </w:r>
      <w:r w:rsidR="002C55F3" w:rsidRPr="009759D3">
        <w:rPr>
          <w:rFonts w:ascii="Garamond" w:hAnsi="Garamond" w:cs="Arial"/>
          <w:color w:val="000000" w:themeColor="text1"/>
          <w:sz w:val="24"/>
          <w:szCs w:val="24"/>
          <w:lang w:val="es-ES_tradnl"/>
        </w:rPr>
        <w:t>Se modifica el apartado 1 del artículo 19 de la Ley 12/2012, de 21 de junio, contra el Dopaje en el Deporte, que quedará redactado en los siguientes términos:</w:t>
      </w:r>
    </w:p>
    <w:p w14:paraId="710A9727"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3E55B4A5" w14:textId="77777777" w:rsidR="002C55F3" w:rsidRPr="009759D3" w:rsidRDefault="002C55F3" w:rsidP="002C55F3">
      <w:pPr>
        <w:autoSpaceDE w:val="0"/>
        <w:autoSpaceDN w:val="0"/>
        <w:adjustRightInd w:val="0"/>
        <w:ind w:left="708"/>
        <w:jc w:val="both"/>
        <w:rPr>
          <w:rFonts w:ascii="Garamond" w:hAnsi="Garamond" w:cs="Arial"/>
          <w:color w:val="000000" w:themeColor="text1"/>
          <w:sz w:val="24"/>
          <w:szCs w:val="24"/>
          <w:lang w:val="es-ES_tradnl"/>
        </w:rPr>
      </w:pPr>
      <w:r w:rsidRPr="009759D3">
        <w:rPr>
          <w:rFonts w:ascii="Garamond" w:hAnsi="Garamond" w:cs="Arial"/>
          <w:color w:val="000000" w:themeColor="text1"/>
          <w:sz w:val="24"/>
          <w:szCs w:val="24"/>
        </w:rPr>
        <w:t>«</w:t>
      </w:r>
      <w:r w:rsidR="00583400">
        <w:rPr>
          <w:rFonts w:ascii="Garamond" w:hAnsi="Garamond" w:cs="Arial"/>
          <w:color w:val="000000" w:themeColor="text1"/>
          <w:sz w:val="24"/>
          <w:szCs w:val="24"/>
          <w:lang w:val="es-ES_tradnl"/>
        </w:rPr>
        <w:t>1.-</w:t>
      </w:r>
      <w:r w:rsidRPr="009759D3">
        <w:rPr>
          <w:rFonts w:ascii="Garamond" w:hAnsi="Garamond" w:cs="Arial"/>
          <w:color w:val="000000" w:themeColor="text1"/>
          <w:sz w:val="24"/>
          <w:szCs w:val="24"/>
          <w:lang w:val="es-ES_tradnl"/>
        </w:rPr>
        <w:t>En el marco de los compromisos y obligaciones internacionales, la persona titular del departamento competente en materia de deporte, adicionalmente a la publicación que ordene la Administración General del Estado en el Boletín Oficial del Estado, ordenará la publicación en el Boletín Oficial del País Vasco de la lista de sustancias y métodos prohibidos en el deporte. Esta publicación se producirá, además, en cada ocasión en que se introduzcan cambios en ella</w:t>
      </w:r>
      <w:r w:rsidRPr="009759D3">
        <w:rPr>
          <w:rFonts w:ascii="Garamond" w:hAnsi="Garamond" w:cs="Arial"/>
          <w:color w:val="000000" w:themeColor="text1"/>
          <w:sz w:val="24"/>
          <w:szCs w:val="24"/>
        </w:rPr>
        <w:t>»</w:t>
      </w:r>
      <w:r w:rsidRPr="009759D3">
        <w:rPr>
          <w:rFonts w:ascii="Garamond" w:hAnsi="Garamond" w:cs="Arial"/>
          <w:color w:val="000000" w:themeColor="text1"/>
          <w:sz w:val="24"/>
          <w:szCs w:val="24"/>
          <w:lang w:val="es-ES_tradnl"/>
        </w:rPr>
        <w:t>.</w:t>
      </w:r>
    </w:p>
    <w:p w14:paraId="78FFF2FB"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0E198D9C" w14:textId="77777777" w:rsidR="002C55F3" w:rsidRPr="009759D3" w:rsidRDefault="002C55F3" w:rsidP="002C55F3">
      <w:pPr>
        <w:autoSpaceDE w:val="0"/>
        <w:autoSpaceDN w:val="0"/>
        <w:adjustRightInd w:val="0"/>
        <w:jc w:val="both"/>
        <w:rPr>
          <w:rFonts w:ascii="Garamond" w:hAnsi="Garamond" w:cs="Arial"/>
          <w:b/>
          <w:bCs/>
          <w:color w:val="000000" w:themeColor="text1"/>
          <w:sz w:val="24"/>
          <w:szCs w:val="24"/>
          <w:lang w:val="es-ES_tradnl"/>
        </w:rPr>
      </w:pPr>
      <w:r w:rsidRPr="009759D3">
        <w:rPr>
          <w:rFonts w:ascii="Garamond" w:hAnsi="Garamond" w:cs="Arial"/>
          <w:b/>
          <w:bCs/>
          <w:color w:val="000000" w:themeColor="text1"/>
          <w:sz w:val="24"/>
          <w:szCs w:val="24"/>
          <w:lang w:val="es-ES_tradnl"/>
        </w:rPr>
        <w:lastRenderedPageBreak/>
        <w:t>Artículo Decimotercero.</w:t>
      </w:r>
      <w:r w:rsidR="000B3743">
        <w:rPr>
          <w:rFonts w:ascii="Garamond" w:hAnsi="Garamond" w:cs="Arial"/>
          <w:b/>
          <w:bCs/>
          <w:color w:val="000000" w:themeColor="text1"/>
          <w:sz w:val="24"/>
          <w:szCs w:val="24"/>
          <w:lang w:val="es-ES_tradnl"/>
        </w:rPr>
        <w:t xml:space="preserve"> </w:t>
      </w:r>
      <w:r w:rsidRPr="009759D3">
        <w:rPr>
          <w:rFonts w:ascii="Garamond" w:hAnsi="Garamond" w:cs="Arial"/>
          <w:color w:val="000000" w:themeColor="text1"/>
          <w:sz w:val="24"/>
          <w:szCs w:val="24"/>
          <w:lang w:val="es-ES_tradnl"/>
        </w:rPr>
        <w:t>Se añaden los apartados 3, 4 y 5 en el artículo 19 de la Ley 12/2012, de 21 de junio, contra el Dopaje en el Deporte, que quedarán redactados en los siguientes términos:</w:t>
      </w:r>
    </w:p>
    <w:p w14:paraId="055A480E"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738B0545" w14:textId="77777777" w:rsidR="002C55F3" w:rsidRPr="009759D3" w:rsidRDefault="002C55F3" w:rsidP="002C55F3">
      <w:pPr>
        <w:autoSpaceDE w:val="0"/>
        <w:autoSpaceDN w:val="0"/>
        <w:adjustRightInd w:val="0"/>
        <w:ind w:left="708"/>
        <w:jc w:val="both"/>
        <w:rPr>
          <w:rFonts w:ascii="Garamond" w:hAnsi="Garamond" w:cs="Arial"/>
          <w:color w:val="000000" w:themeColor="text1"/>
          <w:sz w:val="24"/>
          <w:szCs w:val="24"/>
          <w:lang w:val="es-ES_tradnl"/>
        </w:rPr>
      </w:pPr>
      <w:r w:rsidRPr="009759D3">
        <w:rPr>
          <w:rFonts w:ascii="Garamond" w:hAnsi="Garamond" w:cs="Arial"/>
          <w:color w:val="000000" w:themeColor="text1"/>
          <w:sz w:val="24"/>
          <w:szCs w:val="24"/>
        </w:rPr>
        <w:t>«</w:t>
      </w:r>
      <w:r w:rsidRPr="009759D3">
        <w:rPr>
          <w:rFonts w:ascii="Garamond" w:hAnsi="Garamond" w:cs="Arial"/>
          <w:color w:val="000000" w:themeColor="text1"/>
          <w:sz w:val="24"/>
          <w:szCs w:val="24"/>
          <w:lang w:val="es-ES_tradnl"/>
        </w:rPr>
        <w:t xml:space="preserve">3.- Las sustancias y métodos prohibidos que se encuentren incluidos en la lista vigente en cada momento podrán tener la consideración de específicas o no específicas. Tendrán la consideración de sustancias específicas y métodos específicos las y los que, figurando como tal en la lista publicada en cada momento, llegasen a ser compatibles con una utilización o un uso sin fines directamente relacionados con la mejora del rendimiento deportivo. </w:t>
      </w:r>
    </w:p>
    <w:p w14:paraId="37560D25" w14:textId="77777777" w:rsidR="002C55F3" w:rsidRPr="009759D3" w:rsidRDefault="002C55F3" w:rsidP="002C55F3">
      <w:pPr>
        <w:autoSpaceDE w:val="0"/>
        <w:autoSpaceDN w:val="0"/>
        <w:adjustRightInd w:val="0"/>
        <w:ind w:left="708"/>
        <w:jc w:val="both"/>
        <w:rPr>
          <w:rFonts w:ascii="Garamond" w:hAnsi="Garamond" w:cs="Arial"/>
          <w:color w:val="000000" w:themeColor="text1"/>
          <w:sz w:val="24"/>
          <w:szCs w:val="24"/>
          <w:lang w:val="es-ES_tradnl"/>
        </w:rPr>
      </w:pPr>
      <w:r w:rsidRPr="009759D3">
        <w:rPr>
          <w:rFonts w:ascii="Garamond" w:hAnsi="Garamond" w:cs="Arial"/>
          <w:color w:val="000000" w:themeColor="text1"/>
          <w:sz w:val="24"/>
          <w:szCs w:val="24"/>
          <w:lang w:val="es-ES_tradnl"/>
        </w:rPr>
        <w:t>4.- Tendrán la consideración de sustancias de abuso aquellas que figuran específicamente como tales en la lista de prohibiciones vigente en cada momento. Para la calificación de una sustancia como de abuso a efectos de la normativa antidopaje se tomará en consideración que en la sociedad se abuse de ella con frecuencia en contextos distintos a los deportivos.</w:t>
      </w:r>
    </w:p>
    <w:p w14:paraId="7B431FA0" w14:textId="77777777" w:rsidR="002C55F3" w:rsidRPr="009759D3" w:rsidRDefault="002C55F3" w:rsidP="002C55F3">
      <w:pPr>
        <w:autoSpaceDE w:val="0"/>
        <w:autoSpaceDN w:val="0"/>
        <w:adjustRightInd w:val="0"/>
        <w:ind w:left="708"/>
        <w:jc w:val="both"/>
        <w:rPr>
          <w:rFonts w:ascii="Garamond" w:hAnsi="Garamond" w:cs="Arial"/>
          <w:color w:val="000000" w:themeColor="text1"/>
          <w:sz w:val="24"/>
          <w:szCs w:val="24"/>
          <w:lang w:val="es-ES_tradnl"/>
        </w:rPr>
      </w:pPr>
      <w:r w:rsidRPr="009759D3">
        <w:rPr>
          <w:rFonts w:ascii="Garamond" w:hAnsi="Garamond" w:cs="Arial"/>
          <w:color w:val="000000" w:themeColor="text1"/>
          <w:sz w:val="24"/>
          <w:szCs w:val="24"/>
          <w:lang w:val="es-ES_tradnl"/>
        </w:rPr>
        <w:t>5.- Cualquier mención en la presente Ley a las sustancias prohibidas se entenderá realizada igualmente a los métodos prohibidos, y viceversa; siempre que se encuentren recogidas o recogidos en uno y otro caso en la lista de referencia vigente en cada momento</w:t>
      </w:r>
      <w:r w:rsidRPr="009759D3">
        <w:rPr>
          <w:rFonts w:ascii="Garamond" w:hAnsi="Garamond" w:cs="Arial"/>
          <w:color w:val="000000" w:themeColor="text1"/>
          <w:sz w:val="24"/>
          <w:szCs w:val="24"/>
        </w:rPr>
        <w:t>»</w:t>
      </w:r>
      <w:r w:rsidRPr="009759D3">
        <w:rPr>
          <w:rFonts w:ascii="Garamond" w:hAnsi="Garamond" w:cs="Arial"/>
          <w:color w:val="000000" w:themeColor="text1"/>
          <w:sz w:val="24"/>
          <w:szCs w:val="24"/>
          <w:lang w:val="es-ES_tradnl"/>
        </w:rPr>
        <w:t>.</w:t>
      </w:r>
    </w:p>
    <w:p w14:paraId="59213F80"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6B8DED6F" w14:textId="77777777" w:rsidR="002C55F3" w:rsidRPr="009759D3" w:rsidRDefault="002C55F3" w:rsidP="002C55F3">
      <w:pPr>
        <w:autoSpaceDE w:val="0"/>
        <w:autoSpaceDN w:val="0"/>
        <w:adjustRightInd w:val="0"/>
        <w:jc w:val="both"/>
        <w:rPr>
          <w:rFonts w:ascii="Garamond" w:hAnsi="Garamond" w:cs="Arial"/>
          <w:b/>
          <w:bCs/>
          <w:color w:val="000000" w:themeColor="text1"/>
          <w:sz w:val="24"/>
          <w:szCs w:val="24"/>
          <w:lang w:val="es-ES_tradnl"/>
        </w:rPr>
      </w:pPr>
      <w:r w:rsidRPr="009759D3">
        <w:rPr>
          <w:rFonts w:ascii="Garamond" w:hAnsi="Garamond" w:cs="Arial"/>
          <w:b/>
          <w:bCs/>
          <w:color w:val="000000" w:themeColor="text1"/>
          <w:sz w:val="24"/>
          <w:szCs w:val="24"/>
          <w:lang w:val="es-ES_tradnl"/>
        </w:rPr>
        <w:t>Artículo Decimocuarto.</w:t>
      </w:r>
      <w:r w:rsidR="008906A5">
        <w:rPr>
          <w:rFonts w:ascii="Garamond" w:hAnsi="Garamond" w:cs="Arial"/>
          <w:b/>
          <w:bCs/>
          <w:color w:val="000000" w:themeColor="text1"/>
          <w:sz w:val="24"/>
          <w:szCs w:val="24"/>
          <w:lang w:val="es-ES_tradnl"/>
        </w:rPr>
        <w:t xml:space="preserve"> </w:t>
      </w:r>
      <w:r w:rsidRPr="009759D3">
        <w:rPr>
          <w:rFonts w:ascii="Garamond" w:hAnsi="Garamond" w:cs="Arial"/>
          <w:color w:val="000000" w:themeColor="text1"/>
          <w:sz w:val="24"/>
          <w:szCs w:val="24"/>
          <w:lang w:val="es-ES_tradnl"/>
        </w:rPr>
        <w:t>Se añaden un apartado 5 en el artículo 22 bis de la Ley 12/2012, de 21 de junio, contra el Dopaje en el Deporte, que quedará redactado en los siguientes términos:</w:t>
      </w:r>
    </w:p>
    <w:p w14:paraId="3EDAB6A8"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679E2445" w14:textId="77777777" w:rsidR="002C55F3" w:rsidRPr="009759D3" w:rsidRDefault="002C55F3" w:rsidP="002C55F3">
      <w:pPr>
        <w:autoSpaceDE w:val="0"/>
        <w:autoSpaceDN w:val="0"/>
        <w:adjustRightInd w:val="0"/>
        <w:ind w:left="708"/>
        <w:jc w:val="both"/>
        <w:rPr>
          <w:rFonts w:ascii="Garamond" w:hAnsi="Garamond" w:cs="Arial"/>
          <w:color w:val="000000" w:themeColor="text1"/>
          <w:sz w:val="24"/>
          <w:szCs w:val="24"/>
          <w:lang w:val="es-ES_tradnl"/>
        </w:rPr>
      </w:pPr>
      <w:r w:rsidRPr="009759D3">
        <w:rPr>
          <w:rFonts w:ascii="Garamond" w:hAnsi="Garamond" w:cs="Arial"/>
          <w:color w:val="000000" w:themeColor="text1"/>
          <w:sz w:val="24"/>
          <w:szCs w:val="24"/>
        </w:rPr>
        <w:t>«</w:t>
      </w:r>
      <w:r w:rsidRPr="009759D3">
        <w:rPr>
          <w:rFonts w:ascii="Garamond" w:hAnsi="Garamond" w:cs="Arial"/>
          <w:color w:val="000000" w:themeColor="text1"/>
          <w:sz w:val="24"/>
          <w:szCs w:val="24"/>
          <w:lang w:val="es-ES_tradnl"/>
        </w:rPr>
        <w:t xml:space="preserve">5.- Se </w:t>
      </w:r>
      <w:proofErr w:type="spellStart"/>
      <w:r w:rsidRPr="009759D3">
        <w:rPr>
          <w:rFonts w:ascii="Garamond" w:hAnsi="Garamond" w:cs="Arial"/>
          <w:color w:val="000000" w:themeColor="text1"/>
          <w:sz w:val="24"/>
          <w:szCs w:val="24"/>
          <w:lang w:val="es-ES_tradnl"/>
        </w:rPr>
        <w:t>podra</w:t>
      </w:r>
      <w:proofErr w:type="spellEnd"/>
      <w:r w:rsidRPr="009759D3">
        <w:rPr>
          <w:rFonts w:ascii="Garamond" w:hAnsi="Garamond" w:cs="Arial"/>
          <w:color w:val="000000" w:themeColor="text1"/>
          <w:sz w:val="24"/>
          <w:szCs w:val="24"/>
          <w:lang w:val="es-ES_tradnl"/>
        </w:rPr>
        <w:t xml:space="preserve">́ aceptar voluntariamente y por propia iniciativa cualquier </w:t>
      </w:r>
      <w:proofErr w:type="spellStart"/>
      <w:r w:rsidRPr="009759D3">
        <w:rPr>
          <w:rFonts w:ascii="Garamond" w:hAnsi="Garamond" w:cs="Arial"/>
          <w:color w:val="000000" w:themeColor="text1"/>
          <w:sz w:val="24"/>
          <w:szCs w:val="24"/>
          <w:lang w:val="es-ES_tradnl"/>
        </w:rPr>
        <w:t>suspensión</w:t>
      </w:r>
      <w:proofErr w:type="spellEnd"/>
      <w:r w:rsidRPr="009759D3">
        <w:rPr>
          <w:rFonts w:ascii="Garamond" w:hAnsi="Garamond" w:cs="Arial"/>
          <w:color w:val="000000" w:themeColor="text1"/>
          <w:sz w:val="24"/>
          <w:szCs w:val="24"/>
          <w:lang w:val="es-ES_tradnl"/>
        </w:rPr>
        <w:t xml:space="preserve"> provisional, siempre que se haga antes del vencimiento del último de los siguientes plazos: </w:t>
      </w:r>
    </w:p>
    <w:p w14:paraId="38E251B8" w14:textId="77777777" w:rsidR="002C55F3" w:rsidRPr="009759D3" w:rsidRDefault="002C55F3" w:rsidP="002C55F3">
      <w:pPr>
        <w:numPr>
          <w:ilvl w:val="0"/>
          <w:numId w:val="4"/>
        </w:numPr>
        <w:autoSpaceDE w:val="0"/>
        <w:autoSpaceDN w:val="0"/>
        <w:adjustRightInd w:val="0"/>
        <w:spacing w:after="0" w:line="240" w:lineRule="auto"/>
        <w:ind w:left="1428"/>
        <w:jc w:val="both"/>
        <w:rPr>
          <w:rFonts w:ascii="Garamond" w:hAnsi="Garamond" w:cs="Arial"/>
          <w:color w:val="000000" w:themeColor="text1"/>
          <w:sz w:val="24"/>
          <w:szCs w:val="24"/>
        </w:rPr>
      </w:pPr>
      <w:r w:rsidRPr="009759D3">
        <w:rPr>
          <w:rFonts w:ascii="Garamond" w:hAnsi="Garamond" w:cs="Arial"/>
          <w:color w:val="000000" w:themeColor="text1"/>
          <w:sz w:val="24"/>
          <w:szCs w:val="24"/>
        </w:rPr>
        <w:t xml:space="preserve">diez </w:t>
      </w:r>
      <w:proofErr w:type="spellStart"/>
      <w:r w:rsidRPr="009759D3">
        <w:rPr>
          <w:rFonts w:ascii="Garamond" w:hAnsi="Garamond" w:cs="Arial"/>
          <w:color w:val="000000" w:themeColor="text1"/>
          <w:sz w:val="24"/>
          <w:szCs w:val="24"/>
        </w:rPr>
        <w:t>días</w:t>
      </w:r>
      <w:proofErr w:type="spellEnd"/>
      <w:r w:rsidRPr="009759D3">
        <w:rPr>
          <w:rFonts w:ascii="Garamond" w:hAnsi="Garamond" w:cs="Arial"/>
          <w:color w:val="000000" w:themeColor="text1"/>
          <w:sz w:val="24"/>
          <w:szCs w:val="24"/>
        </w:rPr>
        <w:t xml:space="preserve"> desde la </w:t>
      </w:r>
      <w:proofErr w:type="spellStart"/>
      <w:r w:rsidRPr="009759D3">
        <w:rPr>
          <w:rFonts w:ascii="Garamond" w:hAnsi="Garamond" w:cs="Arial"/>
          <w:color w:val="000000" w:themeColor="text1"/>
          <w:sz w:val="24"/>
          <w:szCs w:val="24"/>
        </w:rPr>
        <w:t>comunicación</w:t>
      </w:r>
      <w:proofErr w:type="spellEnd"/>
      <w:r w:rsidRPr="009759D3">
        <w:rPr>
          <w:rFonts w:ascii="Garamond" w:hAnsi="Garamond" w:cs="Arial"/>
          <w:color w:val="000000" w:themeColor="text1"/>
          <w:sz w:val="24"/>
          <w:szCs w:val="24"/>
        </w:rPr>
        <w:t xml:space="preserve"> de los resultados del </w:t>
      </w:r>
      <w:proofErr w:type="spellStart"/>
      <w:r w:rsidRPr="009759D3">
        <w:rPr>
          <w:rFonts w:ascii="Garamond" w:hAnsi="Garamond" w:cs="Arial"/>
          <w:color w:val="000000" w:themeColor="text1"/>
          <w:sz w:val="24"/>
          <w:szCs w:val="24"/>
        </w:rPr>
        <w:t>análisis</w:t>
      </w:r>
      <w:proofErr w:type="spellEnd"/>
      <w:r w:rsidRPr="009759D3">
        <w:rPr>
          <w:rFonts w:ascii="Garamond" w:hAnsi="Garamond" w:cs="Arial"/>
          <w:color w:val="000000" w:themeColor="text1"/>
          <w:sz w:val="24"/>
          <w:szCs w:val="24"/>
        </w:rPr>
        <w:t xml:space="preserve"> de la Muestra B, o desde la renuncia a llevar a cabo el contra-análisis o diez días desde la </w:t>
      </w:r>
      <w:proofErr w:type="spellStart"/>
      <w:r w:rsidRPr="009759D3">
        <w:rPr>
          <w:rFonts w:ascii="Garamond" w:hAnsi="Garamond" w:cs="Arial"/>
          <w:color w:val="000000" w:themeColor="text1"/>
          <w:sz w:val="24"/>
          <w:szCs w:val="24"/>
        </w:rPr>
        <w:t>notificación</w:t>
      </w:r>
      <w:proofErr w:type="spellEnd"/>
      <w:r w:rsidRPr="009759D3">
        <w:rPr>
          <w:rFonts w:ascii="Garamond" w:hAnsi="Garamond" w:cs="Arial"/>
          <w:color w:val="000000" w:themeColor="text1"/>
          <w:sz w:val="24"/>
          <w:szCs w:val="24"/>
        </w:rPr>
        <w:t xml:space="preserve"> de cualquier otra </w:t>
      </w:r>
      <w:proofErr w:type="spellStart"/>
      <w:r w:rsidRPr="009759D3">
        <w:rPr>
          <w:rFonts w:ascii="Garamond" w:hAnsi="Garamond" w:cs="Arial"/>
          <w:color w:val="000000" w:themeColor="text1"/>
          <w:sz w:val="24"/>
          <w:szCs w:val="24"/>
        </w:rPr>
        <w:t>infracción</w:t>
      </w:r>
      <w:proofErr w:type="spellEnd"/>
      <w:r w:rsidRPr="009759D3">
        <w:rPr>
          <w:rFonts w:ascii="Garamond" w:hAnsi="Garamond" w:cs="Arial"/>
          <w:color w:val="000000" w:themeColor="text1"/>
          <w:sz w:val="24"/>
          <w:szCs w:val="24"/>
        </w:rPr>
        <w:t xml:space="preserve"> de las normas antidopaje.</w:t>
      </w:r>
    </w:p>
    <w:p w14:paraId="5D65D3D6" w14:textId="77777777" w:rsidR="002C55F3" w:rsidRPr="009759D3" w:rsidRDefault="002C55F3" w:rsidP="002C55F3">
      <w:pPr>
        <w:numPr>
          <w:ilvl w:val="0"/>
          <w:numId w:val="4"/>
        </w:numPr>
        <w:autoSpaceDE w:val="0"/>
        <w:autoSpaceDN w:val="0"/>
        <w:adjustRightInd w:val="0"/>
        <w:spacing w:after="0" w:line="240" w:lineRule="auto"/>
        <w:ind w:left="1428"/>
        <w:jc w:val="both"/>
        <w:rPr>
          <w:rFonts w:ascii="Garamond" w:hAnsi="Garamond" w:cs="Arial"/>
          <w:color w:val="000000" w:themeColor="text1"/>
          <w:sz w:val="24"/>
          <w:szCs w:val="24"/>
        </w:rPr>
      </w:pPr>
      <w:r w:rsidRPr="009759D3">
        <w:rPr>
          <w:rFonts w:ascii="Garamond" w:hAnsi="Garamond" w:cs="Arial"/>
          <w:color w:val="000000" w:themeColor="text1"/>
          <w:sz w:val="24"/>
          <w:szCs w:val="24"/>
        </w:rPr>
        <w:t xml:space="preserve">la fecha en la que </w:t>
      </w:r>
      <w:proofErr w:type="spellStart"/>
      <w:r w:rsidRPr="009759D3">
        <w:rPr>
          <w:rFonts w:ascii="Garamond" w:hAnsi="Garamond" w:cs="Arial"/>
          <w:color w:val="000000" w:themeColor="text1"/>
          <w:sz w:val="24"/>
          <w:szCs w:val="24"/>
        </w:rPr>
        <w:t>el</w:t>
      </w:r>
      <w:proofErr w:type="spellEnd"/>
      <w:r w:rsidRPr="009759D3">
        <w:rPr>
          <w:rFonts w:ascii="Garamond" w:hAnsi="Garamond" w:cs="Arial"/>
          <w:color w:val="000000" w:themeColor="text1"/>
          <w:sz w:val="24"/>
          <w:szCs w:val="24"/>
        </w:rPr>
        <w:t xml:space="preserve"> o la deportista compita por primera vez desde la </w:t>
      </w:r>
      <w:proofErr w:type="spellStart"/>
      <w:r w:rsidRPr="009759D3">
        <w:rPr>
          <w:rFonts w:ascii="Garamond" w:hAnsi="Garamond" w:cs="Arial"/>
          <w:color w:val="000000" w:themeColor="text1"/>
          <w:sz w:val="24"/>
          <w:szCs w:val="24"/>
        </w:rPr>
        <w:t>comunicación</w:t>
      </w:r>
      <w:proofErr w:type="spellEnd"/>
      <w:r w:rsidRPr="009759D3">
        <w:rPr>
          <w:rFonts w:ascii="Garamond" w:hAnsi="Garamond" w:cs="Arial"/>
          <w:color w:val="000000" w:themeColor="text1"/>
          <w:sz w:val="24"/>
          <w:szCs w:val="24"/>
        </w:rPr>
        <w:t xml:space="preserve"> o </w:t>
      </w:r>
      <w:proofErr w:type="spellStart"/>
      <w:r w:rsidRPr="009759D3">
        <w:rPr>
          <w:rFonts w:ascii="Garamond" w:hAnsi="Garamond" w:cs="Arial"/>
          <w:color w:val="000000" w:themeColor="text1"/>
          <w:sz w:val="24"/>
          <w:szCs w:val="24"/>
        </w:rPr>
        <w:t>notificación</w:t>
      </w:r>
      <w:proofErr w:type="spellEnd"/>
      <w:r w:rsidRPr="009759D3">
        <w:rPr>
          <w:rFonts w:ascii="Garamond" w:hAnsi="Garamond" w:cs="Arial"/>
          <w:color w:val="000000" w:themeColor="text1"/>
          <w:sz w:val="24"/>
          <w:szCs w:val="24"/>
        </w:rPr>
        <w:t xml:space="preserve">. </w:t>
      </w:r>
    </w:p>
    <w:p w14:paraId="267CAA56" w14:textId="77777777" w:rsidR="002C55F3" w:rsidRPr="009759D3" w:rsidRDefault="002C55F3" w:rsidP="002C55F3">
      <w:pPr>
        <w:autoSpaceDE w:val="0"/>
        <w:autoSpaceDN w:val="0"/>
        <w:adjustRightInd w:val="0"/>
        <w:ind w:left="708"/>
        <w:jc w:val="both"/>
        <w:rPr>
          <w:rFonts w:ascii="Garamond" w:hAnsi="Garamond" w:cs="Arial"/>
          <w:color w:val="000000" w:themeColor="text1"/>
          <w:sz w:val="24"/>
          <w:szCs w:val="24"/>
          <w:lang w:val="es-ES_tradnl"/>
        </w:rPr>
      </w:pPr>
      <w:r w:rsidRPr="009759D3">
        <w:rPr>
          <w:rFonts w:ascii="Garamond" w:hAnsi="Garamond" w:cs="Arial"/>
          <w:color w:val="000000" w:themeColor="text1"/>
          <w:sz w:val="24"/>
          <w:szCs w:val="24"/>
          <w:lang w:val="es-ES_tradnl"/>
        </w:rPr>
        <w:t xml:space="preserve">Otras personas distintas a los o las deportistas </w:t>
      </w:r>
      <w:proofErr w:type="spellStart"/>
      <w:r w:rsidRPr="009759D3">
        <w:rPr>
          <w:rFonts w:ascii="Garamond" w:hAnsi="Garamond" w:cs="Arial"/>
          <w:color w:val="000000" w:themeColor="text1"/>
          <w:sz w:val="24"/>
          <w:szCs w:val="24"/>
          <w:lang w:val="es-ES_tradnl"/>
        </w:rPr>
        <w:t>podrán</w:t>
      </w:r>
      <w:proofErr w:type="spellEnd"/>
      <w:r w:rsidRPr="009759D3">
        <w:rPr>
          <w:rFonts w:ascii="Garamond" w:hAnsi="Garamond" w:cs="Arial"/>
          <w:color w:val="000000" w:themeColor="text1"/>
          <w:sz w:val="24"/>
          <w:szCs w:val="24"/>
          <w:lang w:val="es-ES_tradnl"/>
        </w:rPr>
        <w:t xml:space="preserve"> </w:t>
      </w:r>
      <w:proofErr w:type="spellStart"/>
      <w:r w:rsidRPr="009759D3">
        <w:rPr>
          <w:rFonts w:ascii="Garamond" w:hAnsi="Garamond" w:cs="Arial"/>
          <w:color w:val="000000" w:themeColor="text1"/>
          <w:sz w:val="24"/>
          <w:szCs w:val="24"/>
          <w:lang w:val="es-ES_tradnl"/>
        </w:rPr>
        <w:t>también</w:t>
      </w:r>
      <w:proofErr w:type="spellEnd"/>
      <w:r w:rsidRPr="009759D3">
        <w:rPr>
          <w:rFonts w:ascii="Garamond" w:hAnsi="Garamond" w:cs="Arial"/>
          <w:color w:val="000000" w:themeColor="text1"/>
          <w:sz w:val="24"/>
          <w:szCs w:val="24"/>
          <w:lang w:val="es-ES_tradnl"/>
        </w:rPr>
        <w:t xml:space="preserve"> voluntariamente y por su propia iniciativa aceptar la </w:t>
      </w:r>
      <w:proofErr w:type="spellStart"/>
      <w:r w:rsidRPr="009759D3">
        <w:rPr>
          <w:rFonts w:ascii="Garamond" w:hAnsi="Garamond" w:cs="Arial"/>
          <w:color w:val="000000" w:themeColor="text1"/>
          <w:sz w:val="24"/>
          <w:szCs w:val="24"/>
          <w:lang w:val="es-ES_tradnl"/>
        </w:rPr>
        <w:t>suspensión</w:t>
      </w:r>
      <w:proofErr w:type="spellEnd"/>
      <w:r w:rsidRPr="009759D3">
        <w:rPr>
          <w:rFonts w:ascii="Garamond" w:hAnsi="Garamond" w:cs="Arial"/>
          <w:color w:val="000000" w:themeColor="text1"/>
          <w:sz w:val="24"/>
          <w:szCs w:val="24"/>
          <w:lang w:val="es-ES_tradnl"/>
        </w:rPr>
        <w:t xml:space="preserve"> provisional si lo hacen en el plazo de diez </w:t>
      </w:r>
      <w:proofErr w:type="spellStart"/>
      <w:r w:rsidRPr="009759D3">
        <w:rPr>
          <w:rFonts w:ascii="Garamond" w:hAnsi="Garamond" w:cs="Arial"/>
          <w:color w:val="000000" w:themeColor="text1"/>
          <w:sz w:val="24"/>
          <w:szCs w:val="24"/>
          <w:lang w:val="es-ES_tradnl"/>
        </w:rPr>
        <w:t>días</w:t>
      </w:r>
      <w:proofErr w:type="spellEnd"/>
      <w:r w:rsidRPr="009759D3">
        <w:rPr>
          <w:rFonts w:ascii="Garamond" w:hAnsi="Garamond" w:cs="Arial"/>
          <w:color w:val="000000" w:themeColor="text1"/>
          <w:sz w:val="24"/>
          <w:szCs w:val="24"/>
          <w:lang w:val="es-ES_tradnl"/>
        </w:rPr>
        <w:t xml:space="preserve"> desde que se las notificó la presunta </w:t>
      </w:r>
      <w:proofErr w:type="spellStart"/>
      <w:r w:rsidRPr="009759D3">
        <w:rPr>
          <w:rFonts w:ascii="Garamond" w:hAnsi="Garamond" w:cs="Arial"/>
          <w:color w:val="000000" w:themeColor="text1"/>
          <w:sz w:val="24"/>
          <w:szCs w:val="24"/>
          <w:lang w:val="es-ES_tradnl"/>
        </w:rPr>
        <w:t>infracción</w:t>
      </w:r>
      <w:proofErr w:type="spellEnd"/>
      <w:r w:rsidRPr="009759D3">
        <w:rPr>
          <w:rFonts w:ascii="Garamond" w:hAnsi="Garamond" w:cs="Arial"/>
          <w:color w:val="000000" w:themeColor="text1"/>
          <w:sz w:val="24"/>
          <w:szCs w:val="24"/>
          <w:lang w:val="es-ES_tradnl"/>
        </w:rPr>
        <w:t xml:space="preserve"> de la norma antidopaje. </w:t>
      </w:r>
    </w:p>
    <w:p w14:paraId="179F66CF" w14:textId="77777777" w:rsidR="002C55F3" w:rsidRPr="009759D3" w:rsidRDefault="002C55F3" w:rsidP="002C55F3">
      <w:pPr>
        <w:autoSpaceDE w:val="0"/>
        <w:autoSpaceDN w:val="0"/>
        <w:adjustRightInd w:val="0"/>
        <w:ind w:left="708"/>
        <w:jc w:val="both"/>
        <w:rPr>
          <w:rFonts w:ascii="Garamond" w:hAnsi="Garamond" w:cs="Arial"/>
          <w:color w:val="000000" w:themeColor="text1"/>
          <w:sz w:val="24"/>
          <w:szCs w:val="24"/>
          <w:lang w:val="es-ES_tradnl"/>
        </w:rPr>
      </w:pPr>
      <w:r w:rsidRPr="009759D3">
        <w:rPr>
          <w:rFonts w:ascii="Garamond" w:hAnsi="Garamond" w:cs="Arial"/>
          <w:color w:val="000000" w:themeColor="text1"/>
          <w:sz w:val="24"/>
          <w:szCs w:val="24"/>
          <w:lang w:val="es-ES_tradnl"/>
        </w:rPr>
        <w:t xml:space="preserve">La </w:t>
      </w:r>
      <w:proofErr w:type="spellStart"/>
      <w:r w:rsidRPr="009759D3">
        <w:rPr>
          <w:rFonts w:ascii="Garamond" w:hAnsi="Garamond" w:cs="Arial"/>
          <w:color w:val="000000" w:themeColor="text1"/>
          <w:sz w:val="24"/>
          <w:szCs w:val="24"/>
          <w:lang w:val="es-ES_tradnl"/>
        </w:rPr>
        <w:t>suspensión</w:t>
      </w:r>
      <w:proofErr w:type="spellEnd"/>
      <w:r w:rsidRPr="009759D3">
        <w:rPr>
          <w:rFonts w:ascii="Garamond" w:hAnsi="Garamond" w:cs="Arial"/>
          <w:color w:val="000000" w:themeColor="text1"/>
          <w:sz w:val="24"/>
          <w:szCs w:val="24"/>
          <w:lang w:val="es-ES_tradnl"/>
        </w:rPr>
        <w:t xml:space="preserve"> provisional voluntariamente aceptada tendrá́ los mismos efectos y </w:t>
      </w:r>
      <w:proofErr w:type="spellStart"/>
      <w:r w:rsidRPr="009759D3">
        <w:rPr>
          <w:rFonts w:ascii="Garamond" w:hAnsi="Garamond" w:cs="Arial"/>
          <w:color w:val="000000" w:themeColor="text1"/>
          <w:sz w:val="24"/>
          <w:szCs w:val="24"/>
          <w:lang w:val="es-ES_tradnl"/>
        </w:rPr>
        <w:t>sera</w:t>
      </w:r>
      <w:proofErr w:type="spellEnd"/>
      <w:r w:rsidRPr="009759D3">
        <w:rPr>
          <w:rFonts w:ascii="Garamond" w:hAnsi="Garamond" w:cs="Arial"/>
          <w:color w:val="000000" w:themeColor="text1"/>
          <w:sz w:val="24"/>
          <w:szCs w:val="24"/>
          <w:lang w:val="es-ES_tradnl"/>
        </w:rPr>
        <w:t>́ tratada de la misma manera que la impuesta en virtud de lo previsto en esta Ley para los casos o supuestos acordados por la organizaci</w:t>
      </w:r>
      <w:r w:rsidRPr="009759D3">
        <w:rPr>
          <w:rFonts w:ascii="Garamond" w:hAnsi="Garamond" w:cs="Garamond"/>
          <w:color w:val="000000" w:themeColor="text1"/>
          <w:sz w:val="24"/>
          <w:szCs w:val="24"/>
          <w:lang w:val="es-ES_tradnl"/>
        </w:rPr>
        <w:t>ó</w:t>
      </w:r>
      <w:r w:rsidRPr="009759D3">
        <w:rPr>
          <w:rFonts w:ascii="Garamond" w:hAnsi="Garamond" w:cs="Arial"/>
          <w:color w:val="000000" w:themeColor="text1"/>
          <w:sz w:val="24"/>
          <w:szCs w:val="24"/>
          <w:lang w:val="es-ES_tradnl"/>
        </w:rPr>
        <w:t>n antidopaje. Si en cualquier momento posterior a la aceptación voluntaria la persona afectada renunciase o retirase a la misma no podrá llegar a acogerse a las consecuencias previstas en esta Ley para tales casos de suspensión provisional</w:t>
      </w:r>
      <w:r w:rsidRPr="009759D3">
        <w:rPr>
          <w:rFonts w:ascii="Garamond" w:hAnsi="Garamond" w:cs="Arial"/>
          <w:color w:val="000000" w:themeColor="text1"/>
          <w:sz w:val="24"/>
          <w:szCs w:val="24"/>
        </w:rPr>
        <w:t>»</w:t>
      </w:r>
      <w:r w:rsidRPr="009759D3">
        <w:rPr>
          <w:rFonts w:ascii="Garamond" w:hAnsi="Garamond" w:cs="Arial"/>
          <w:color w:val="000000" w:themeColor="text1"/>
          <w:sz w:val="24"/>
          <w:szCs w:val="24"/>
          <w:lang w:val="es-ES_tradnl"/>
        </w:rPr>
        <w:t xml:space="preserve">. </w:t>
      </w:r>
    </w:p>
    <w:p w14:paraId="5937C433"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4B6ED0C9" w14:textId="77777777" w:rsidR="002C55F3" w:rsidRPr="009759D3" w:rsidRDefault="002C55F3" w:rsidP="002C55F3">
      <w:pPr>
        <w:autoSpaceDE w:val="0"/>
        <w:autoSpaceDN w:val="0"/>
        <w:adjustRightInd w:val="0"/>
        <w:jc w:val="both"/>
        <w:rPr>
          <w:rFonts w:ascii="Garamond" w:hAnsi="Garamond" w:cs="Arial"/>
          <w:b/>
          <w:bCs/>
          <w:color w:val="000000" w:themeColor="text1"/>
          <w:sz w:val="24"/>
          <w:szCs w:val="24"/>
          <w:lang w:val="es-ES_tradnl"/>
        </w:rPr>
      </w:pPr>
      <w:r w:rsidRPr="009759D3">
        <w:rPr>
          <w:rFonts w:ascii="Garamond" w:hAnsi="Garamond" w:cs="Arial"/>
          <w:b/>
          <w:bCs/>
          <w:color w:val="000000" w:themeColor="text1"/>
          <w:sz w:val="24"/>
          <w:szCs w:val="24"/>
          <w:lang w:val="es-ES_tradnl"/>
        </w:rPr>
        <w:t xml:space="preserve">Artículo Decimoquinto. </w:t>
      </w:r>
      <w:r w:rsidRPr="009759D3">
        <w:rPr>
          <w:rFonts w:ascii="Garamond" w:hAnsi="Garamond" w:cs="Arial"/>
          <w:color w:val="000000" w:themeColor="text1"/>
          <w:sz w:val="24"/>
          <w:szCs w:val="24"/>
          <w:lang w:val="es-ES_tradnl"/>
        </w:rPr>
        <w:t>Se modifica el epígrafe m) del apartado 1 en el artículo 23 de la Ley 12/2012, de 21 de junio, contra el Dopaje en el Deporte, que quedará redactado en los siguientes términos:</w:t>
      </w:r>
    </w:p>
    <w:p w14:paraId="754C9D50"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173BEE4A" w14:textId="77777777" w:rsidR="002C55F3" w:rsidRPr="009759D3" w:rsidRDefault="002C55F3" w:rsidP="002C55F3">
      <w:pPr>
        <w:autoSpaceDE w:val="0"/>
        <w:autoSpaceDN w:val="0"/>
        <w:adjustRightInd w:val="0"/>
        <w:ind w:left="708"/>
        <w:jc w:val="both"/>
        <w:rPr>
          <w:rFonts w:ascii="Garamond" w:hAnsi="Garamond" w:cs="Arial"/>
          <w:color w:val="000000" w:themeColor="text1"/>
          <w:sz w:val="24"/>
          <w:szCs w:val="24"/>
          <w:lang w:val="es-ES_tradnl"/>
        </w:rPr>
      </w:pPr>
      <w:r w:rsidRPr="009759D3">
        <w:rPr>
          <w:rFonts w:ascii="Garamond" w:hAnsi="Garamond" w:cs="Arial"/>
          <w:color w:val="000000" w:themeColor="text1"/>
          <w:sz w:val="24"/>
          <w:szCs w:val="24"/>
        </w:rPr>
        <w:t>«</w:t>
      </w:r>
      <w:r w:rsidRPr="009759D3">
        <w:rPr>
          <w:rFonts w:ascii="Garamond" w:hAnsi="Garamond" w:cs="Arial"/>
          <w:color w:val="000000" w:themeColor="text1"/>
          <w:sz w:val="24"/>
          <w:szCs w:val="24"/>
          <w:lang w:val="es-ES_tradnl"/>
        </w:rPr>
        <w:t xml:space="preserve">m) La asociación, a título profesional o deportivo, de un o una deportista u otra persona sujeta a la autoridad de un órgano antidopaje con cualquier persona de apoyo al deportista que haya sido sancionada penal, disciplinaria o administrativamente por una infracción en materia de dopaje, siempre que </w:t>
      </w:r>
      <w:proofErr w:type="spellStart"/>
      <w:r w:rsidRPr="009759D3">
        <w:rPr>
          <w:rFonts w:ascii="Garamond" w:hAnsi="Garamond" w:cs="Arial"/>
          <w:color w:val="000000" w:themeColor="text1"/>
          <w:sz w:val="24"/>
          <w:szCs w:val="24"/>
          <w:lang w:val="es-ES_tradnl"/>
        </w:rPr>
        <w:t>el</w:t>
      </w:r>
      <w:proofErr w:type="spellEnd"/>
      <w:r w:rsidRPr="009759D3">
        <w:rPr>
          <w:rFonts w:ascii="Garamond" w:hAnsi="Garamond" w:cs="Arial"/>
          <w:color w:val="000000" w:themeColor="text1"/>
          <w:sz w:val="24"/>
          <w:szCs w:val="24"/>
          <w:lang w:val="es-ES_tradnl"/>
        </w:rPr>
        <w:t xml:space="preserve"> o la deportista, o la persona sujeta a aquella autoridad, haya sido oportunamente notificada por escrito por el correspondiente órgano antidopaje de la situación del personal de apoyo y de la posible sanción derivada de la asociación, todo ello en los términos previstos en el Código Mundial Antidopaje. También se incluye en esta infracción la asociación con aquella persona que actúe como encubridora o intermediaria de las personas con las que está prohibida la asociación</w:t>
      </w:r>
      <w:r w:rsidRPr="009759D3">
        <w:rPr>
          <w:rFonts w:ascii="Garamond" w:hAnsi="Garamond" w:cs="Arial"/>
          <w:color w:val="000000" w:themeColor="text1"/>
          <w:sz w:val="24"/>
          <w:szCs w:val="24"/>
        </w:rPr>
        <w:t>»</w:t>
      </w:r>
      <w:r w:rsidRPr="009759D3">
        <w:rPr>
          <w:rFonts w:ascii="Garamond" w:hAnsi="Garamond" w:cs="Arial"/>
          <w:color w:val="000000" w:themeColor="text1"/>
          <w:sz w:val="24"/>
          <w:szCs w:val="24"/>
          <w:lang w:val="es-ES_tradnl"/>
        </w:rPr>
        <w:t>.</w:t>
      </w:r>
    </w:p>
    <w:p w14:paraId="713159D5"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0D502F20" w14:textId="77777777" w:rsidR="002C55F3" w:rsidRPr="009759D3" w:rsidRDefault="002C55F3" w:rsidP="002C55F3">
      <w:pPr>
        <w:autoSpaceDE w:val="0"/>
        <w:autoSpaceDN w:val="0"/>
        <w:adjustRightInd w:val="0"/>
        <w:jc w:val="both"/>
        <w:rPr>
          <w:rFonts w:ascii="Garamond" w:hAnsi="Garamond" w:cs="Arial"/>
          <w:b/>
          <w:bCs/>
          <w:color w:val="000000" w:themeColor="text1"/>
          <w:sz w:val="24"/>
          <w:szCs w:val="24"/>
          <w:lang w:val="es-ES_tradnl"/>
        </w:rPr>
      </w:pPr>
      <w:r w:rsidRPr="009759D3">
        <w:rPr>
          <w:rFonts w:ascii="Garamond" w:hAnsi="Garamond" w:cs="Arial"/>
          <w:b/>
          <w:bCs/>
          <w:color w:val="000000" w:themeColor="text1"/>
          <w:sz w:val="24"/>
          <w:szCs w:val="24"/>
          <w:lang w:val="es-ES_tradnl"/>
        </w:rPr>
        <w:t>Artículo Decimosexto.</w:t>
      </w:r>
      <w:r w:rsidR="00891CB3">
        <w:rPr>
          <w:rFonts w:ascii="Garamond" w:hAnsi="Garamond" w:cs="Arial"/>
          <w:b/>
          <w:bCs/>
          <w:color w:val="000000" w:themeColor="text1"/>
          <w:sz w:val="24"/>
          <w:szCs w:val="24"/>
          <w:lang w:val="es-ES_tradnl"/>
        </w:rPr>
        <w:t xml:space="preserve"> </w:t>
      </w:r>
      <w:r w:rsidRPr="009759D3">
        <w:rPr>
          <w:rFonts w:ascii="Garamond" w:hAnsi="Garamond" w:cs="Arial"/>
          <w:color w:val="000000" w:themeColor="text1"/>
          <w:sz w:val="24"/>
          <w:szCs w:val="24"/>
          <w:lang w:val="es-ES_tradnl"/>
        </w:rPr>
        <w:t>Se añade el epígrafe n) en el apartado 1 del artículo 23 de la Ley 12/2012, de 21 de junio, contra el Dopaje en el Deporte, que quedará redactado en los siguientes términos:</w:t>
      </w:r>
    </w:p>
    <w:p w14:paraId="582CA415"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439FA214" w14:textId="77777777" w:rsidR="002C55F3" w:rsidRPr="009759D3" w:rsidRDefault="002C55F3" w:rsidP="002C55F3">
      <w:pPr>
        <w:autoSpaceDE w:val="0"/>
        <w:autoSpaceDN w:val="0"/>
        <w:adjustRightInd w:val="0"/>
        <w:ind w:left="708"/>
        <w:jc w:val="both"/>
        <w:rPr>
          <w:rFonts w:ascii="Garamond" w:hAnsi="Garamond" w:cs="Arial"/>
          <w:color w:val="000000" w:themeColor="text1"/>
          <w:sz w:val="24"/>
          <w:szCs w:val="24"/>
          <w:lang w:val="es-ES_tradnl"/>
        </w:rPr>
      </w:pPr>
      <w:r w:rsidRPr="009759D3">
        <w:rPr>
          <w:rFonts w:ascii="Garamond" w:hAnsi="Garamond" w:cs="Arial"/>
          <w:color w:val="000000" w:themeColor="text1"/>
          <w:sz w:val="24"/>
          <w:szCs w:val="24"/>
        </w:rPr>
        <w:t>«</w:t>
      </w:r>
      <w:r w:rsidRPr="009759D3">
        <w:rPr>
          <w:rFonts w:ascii="Garamond" w:hAnsi="Garamond" w:cs="Arial"/>
          <w:color w:val="000000" w:themeColor="text1"/>
          <w:sz w:val="24"/>
          <w:szCs w:val="24"/>
          <w:lang w:val="es-ES_tradnl"/>
        </w:rPr>
        <w:t>n) La realización de cualquier tipo de amenaza o acto de intimidación con la intención o propósito de disuadir de comunicar información relativa a una presunta infracción o ilícito relacionada con las normas antidopaje, así como tomar represalias contra quien haya informado a una organización antidopaje o autoridad competente</w:t>
      </w:r>
      <w:r w:rsidRPr="009759D3">
        <w:rPr>
          <w:rFonts w:ascii="Garamond" w:hAnsi="Garamond" w:cs="Arial"/>
          <w:color w:val="000000" w:themeColor="text1"/>
          <w:sz w:val="24"/>
          <w:szCs w:val="24"/>
        </w:rPr>
        <w:t>»</w:t>
      </w:r>
      <w:r w:rsidRPr="009759D3">
        <w:rPr>
          <w:rFonts w:ascii="Garamond" w:hAnsi="Garamond" w:cs="Arial"/>
          <w:color w:val="000000" w:themeColor="text1"/>
          <w:sz w:val="24"/>
          <w:szCs w:val="24"/>
          <w:lang w:val="es-ES_tradnl"/>
        </w:rPr>
        <w:t>.</w:t>
      </w:r>
    </w:p>
    <w:p w14:paraId="5E19BB0C"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1C2996C6" w14:textId="77777777" w:rsidR="002C55F3" w:rsidRPr="009759D3" w:rsidRDefault="002C55F3" w:rsidP="002C55F3">
      <w:pPr>
        <w:autoSpaceDE w:val="0"/>
        <w:autoSpaceDN w:val="0"/>
        <w:adjustRightInd w:val="0"/>
        <w:jc w:val="both"/>
        <w:rPr>
          <w:rFonts w:ascii="Garamond" w:hAnsi="Garamond" w:cs="Arial"/>
          <w:b/>
          <w:bCs/>
          <w:color w:val="000000" w:themeColor="text1"/>
          <w:sz w:val="24"/>
          <w:szCs w:val="24"/>
          <w:lang w:val="es-ES_tradnl"/>
        </w:rPr>
      </w:pPr>
      <w:r w:rsidRPr="009759D3">
        <w:rPr>
          <w:rFonts w:ascii="Garamond" w:hAnsi="Garamond" w:cs="Arial"/>
          <w:b/>
          <w:bCs/>
          <w:color w:val="000000" w:themeColor="text1"/>
          <w:sz w:val="24"/>
          <w:szCs w:val="24"/>
          <w:lang w:val="es-ES_tradnl"/>
        </w:rPr>
        <w:t>Artículo Decimoséptimo.</w:t>
      </w:r>
      <w:r w:rsidR="00891CB3">
        <w:rPr>
          <w:rFonts w:ascii="Garamond" w:hAnsi="Garamond" w:cs="Arial"/>
          <w:b/>
          <w:bCs/>
          <w:color w:val="000000" w:themeColor="text1"/>
          <w:sz w:val="24"/>
          <w:szCs w:val="24"/>
          <w:lang w:val="es-ES_tradnl"/>
        </w:rPr>
        <w:t xml:space="preserve"> </w:t>
      </w:r>
      <w:r w:rsidRPr="009759D3">
        <w:rPr>
          <w:rFonts w:ascii="Garamond" w:hAnsi="Garamond" w:cs="Arial"/>
          <w:color w:val="000000" w:themeColor="text1"/>
          <w:sz w:val="24"/>
          <w:szCs w:val="24"/>
          <w:lang w:val="es-ES_tradnl"/>
        </w:rPr>
        <w:t>Se añade un apartado 4 en el artículo 23 de la Ley 12/2012, de 21 de junio, contra el Dopaje en el Deporte, que quedará redactado en los siguientes términos:</w:t>
      </w:r>
    </w:p>
    <w:p w14:paraId="0289F47D"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017508A0" w14:textId="77777777" w:rsidR="002C55F3" w:rsidRPr="009759D3" w:rsidRDefault="002C55F3" w:rsidP="002C55F3">
      <w:pPr>
        <w:autoSpaceDE w:val="0"/>
        <w:autoSpaceDN w:val="0"/>
        <w:adjustRightInd w:val="0"/>
        <w:ind w:left="708"/>
        <w:jc w:val="both"/>
        <w:rPr>
          <w:rFonts w:ascii="Garamond" w:hAnsi="Garamond" w:cs="Arial"/>
          <w:color w:val="000000" w:themeColor="text1"/>
          <w:sz w:val="24"/>
          <w:szCs w:val="24"/>
          <w:lang w:val="es-ES_tradnl"/>
        </w:rPr>
      </w:pPr>
      <w:r w:rsidRPr="009759D3">
        <w:rPr>
          <w:rFonts w:ascii="Garamond" w:hAnsi="Garamond" w:cs="Arial"/>
          <w:color w:val="000000" w:themeColor="text1"/>
          <w:sz w:val="24"/>
          <w:szCs w:val="24"/>
        </w:rPr>
        <w:t>«</w:t>
      </w:r>
      <w:r w:rsidRPr="009759D3">
        <w:rPr>
          <w:rFonts w:ascii="Garamond" w:hAnsi="Garamond" w:cs="Arial"/>
          <w:color w:val="000000" w:themeColor="text1"/>
          <w:sz w:val="24"/>
          <w:szCs w:val="24"/>
          <w:lang w:val="es-ES_tradnl"/>
        </w:rPr>
        <w:t>4.- Tienen la consideración de infracciones las conductas indicadas en las letras b), f), h), i) y k) del apartado 1 de este artículo tanto la consumación de las conductas tipificadas, como la mera tentativa en la realización o ejecución de las mismas</w:t>
      </w:r>
      <w:r w:rsidRPr="009759D3">
        <w:rPr>
          <w:rFonts w:ascii="Garamond" w:hAnsi="Garamond" w:cs="Arial"/>
          <w:color w:val="000000" w:themeColor="text1"/>
          <w:sz w:val="24"/>
          <w:szCs w:val="24"/>
        </w:rPr>
        <w:t>»</w:t>
      </w:r>
      <w:r w:rsidRPr="009759D3">
        <w:rPr>
          <w:rFonts w:ascii="Garamond" w:hAnsi="Garamond" w:cs="Arial"/>
          <w:color w:val="000000" w:themeColor="text1"/>
          <w:sz w:val="24"/>
          <w:szCs w:val="24"/>
          <w:lang w:val="es-ES_tradnl"/>
        </w:rPr>
        <w:t>.</w:t>
      </w:r>
    </w:p>
    <w:p w14:paraId="01D891DC"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6C606414" w14:textId="77777777" w:rsidR="002C55F3" w:rsidRPr="009759D3" w:rsidRDefault="002B20DC" w:rsidP="002C55F3">
      <w:pPr>
        <w:autoSpaceDE w:val="0"/>
        <w:autoSpaceDN w:val="0"/>
        <w:adjustRightInd w:val="0"/>
        <w:jc w:val="both"/>
        <w:rPr>
          <w:rFonts w:ascii="Garamond" w:hAnsi="Garamond" w:cs="Arial"/>
          <w:b/>
          <w:bCs/>
          <w:color w:val="000000" w:themeColor="text1"/>
          <w:sz w:val="24"/>
          <w:szCs w:val="24"/>
          <w:lang w:val="es-ES_tradnl"/>
        </w:rPr>
      </w:pPr>
      <w:r>
        <w:rPr>
          <w:rFonts w:ascii="Garamond" w:hAnsi="Garamond" w:cs="Arial"/>
          <w:b/>
          <w:bCs/>
          <w:color w:val="000000" w:themeColor="text1"/>
          <w:sz w:val="24"/>
          <w:szCs w:val="24"/>
          <w:lang w:val="es-ES_tradnl"/>
        </w:rPr>
        <w:t>Artículo Decimoctavo.</w:t>
      </w:r>
      <w:r w:rsidR="002C55F3" w:rsidRPr="009759D3">
        <w:rPr>
          <w:rFonts w:ascii="Garamond" w:hAnsi="Garamond" w:cs="Arial"/>
          <w:b/>
          <w:bCs/>
          <w:color w:val="000000" w:themeColor="text1"/>
          <w:sz w:val="24"/>
          <w:szCs w:val="24"/>
          <w:lang w:val="es-ES_tradnl"/>
        </w:rPr>
        <w:t xml:space="preserve"> </w:t>
      </w:r>
      <w:r w:rsidR="002C55F3" w:rsidRPr="009759D3">
        <w:rPr>
          <w:rFonts w:ascii="Garamond" w:hAnsi="Garamond" w:cs="Arial"/>
          <w:color w:val="000000" w:themeColor="text1"/>
          <w:sz w:val="24"/>
          <w:szCs w:val="24"/>
          <w:lang w:val="es-ES_tradnl"/>
        </w:rPr>
        <w:t>Se añade un párrafo en el apartado 2 del artículo 24 de la Ley 12/2012, de 21 de junio, contra el Dopaje en el Deporte, que quedará redactado en los siguientes términos:</w:t>
      </w:r>
    </w:p>
    <w:p w14:paraId="48EC4511"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2B226C3A" w14:textId="77777777" w:rsidR="002C55F3" w:rsidRPr="009759D3" w:rsidRDefault="002C55F3" w:rsidP="002C55F3">
      <w:pPr>
        <w:autoSpaceDE w:val="0"/>
        <w:autoSpaceDN w:val="0"/>
        <w:adjustRightInd w:val="0"/>
        <w:ind w:left="708"/>
        <w:jc w:val="both"/>
        <w:rPr>
          <w:rFonts w:ascii="Garamond" w:hAnsi="Garamond" w:cs="Arial"/>
          <w:color w:val="000000" w:themeColor="text1"/>
          <w:sz w:val="24"/>
          <w:szCs w:val="24"/>
          <w:lang w:val="es-ES_tradnl"/>
        </w:rPr>
      </w:pPr>
      <w:r w:rsidRPr="009759D3">
        <w:rPr>
          <w:rFonts w:ascii="Garamond" w:hAnsi="Garamond" w:cs="Arial"/>
          <w:color w:val="000000" w:themeColor="text1"/>
          <w:sz w:val="24"/>
          <w:szCs w:val="24"/>
        </w:rPr>
        <w:lastRenderedPageBreak/>
        <w:t>«</w:t>
      </w:r>
      <w:r w:rsidRPr="009759D3">
        <w:rPr>
          <w:rFonts w:ascii="Garamond" w:hAnsi="Garamond" w:cs="Arial"/>
          <w:color w:val="000000" w:themeColor="text1"/>
          <w:sz w:val="24"/>
          <w:szCs w:val="24"/>
          <w:lang w:val="es-ES_tradnl"/>
        </w:rPr>
        <w:t>En los demás casos previstos en tales preceptos diferentes a los de no sometimiento a una recogida de muestras, la sanción podrá comprender un periodo entre dos y cuatro años, en base a las circunstancias excepcionales que fuesen acreditadas por parte del o de la deportista. Un periodo de sanción de un máximo de dos años será impuesto a las infracciones previstas en este apartado cuando fuesen cometidas por personas no federadas</w:t>
      </w:r>
      <w:r w:rsidRPr="009759D3">
        <w:rPr>
          <w:rFonts w:ascii="Garamond" w:hAnsi="Garamond" w:cs="Arial"/>
          <w:color w:val="000000" w:themeColor="text1"/>
          <w:sz w:val="24"/>
          <w:szCs w:val="24"/>
        </w:rPr>
        <w:t>»</w:t>
      </w:r>
      <w:r w:rsidRPr="009759D3">
        <w:rPr>
          <w:rFonts w:ascii="Garamond" w:hAnsi="Garamond" w:cs="Arial"/>
          <w:color w:val="000000" w:themeColor="text1"/>
          <w:sz w:val="24"/>
          <w:szCs w:val="24"/>
          <w:lang w:val="es-ES_tradnl"/>
        </w:rPr>
        <w:t>.</w:t>
      </w:r>
    </w:p>
    <w:p w14:paraId="629EB8BF"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7E2262C1" w14:textId="77777777" w:rsidR="002C55F3" w:rsidRPr="009759D3" w:rsidRDefault="002C55F3" w:rsidP="002C55F3">
      <w:pPr>
        <w:autoSpaceDE w:val="0"/>
        <w:autoSpaceDN w:val="0"/>
        <w:adjustRightInd w:val="0"/>
        <w:jc w:val="both"/>
        <w:rPr>
          <w:rFonts w:ascii="Garamond" w:hAnsi="Garamond" w:cs="Arial"/>
          <w:b/>
          <w:bCs/>
          <w:color w:val="000000" w:themeColor="text1"/>
          <w:sz w:val="24"/>
          <w:szCs w:val="24"/>
          <w:lang w:val="es-ES_tradnl"/>
        </w:rPr>
      </w:pPr>
      <w:r w:rsidRPr="009759D3">
        <w:rPr>
          <w:rFonts w:ascii="Garamond" w:hAnsi="Garamond" w:cs="Arial"/>
          <w:b/>
          <w:bCs/>
          <w:color w:val="000000" w:themeColor="text1"/>
          <w:sz w:val="24"/>
          <w:szCs w:val="24"/>
          <w:lang w:val="es-ES_tradnl"/>
        </w:rPr>
        <w:t>Artículo Decimonoveno</w:t>
      </w:r>
      <w:r w:rsidR="007A2D1D">
        <w:rPr>
          <w:rFonts w:ascii="Garamond" w:hAnsi="Garamond" w:cs="Arial"/>
          <w:b/>
          <w:bCs/>
          <w:color w:val="000000" w:themeColor="text1"/>
          <w:sz w:val="24"/>
          <w:szCs w:val="24"/>
          <w:lang w:val="es-ES_tradnl"/>
        </w:rPr>
        <w:t>.</w:t>
      </w:r>
      <w:r w:rsidRPr="009759D3">
        <w:rPr>
          <w:rFonts w:ascii="Garamond" w:hAnsi="Garamond" w:cs="Arial"/>
          <w:b/>
          <w:bCs/>
          <w:color w:val="000000" w:themeColor="text1"/>
          <w:sz w:val="24"/>
          <w:szCs w:val="24"/>
          <w:lang w:val="es-ES_tradnl"/>
        </w:rPr>
        <w:t xml:space="preserve"> </w:t>
      </w:r>
      <w:r w:rsidRPr="009759D3">
        <w:rPr>
          <w:rFonts w:ascii="Garamond" w:hAnsi="Garamond" w:cs="Arial"/>
          <w:color w:val="000000" w:themeColor="text1"/>
          <w:sz w:val="24"/>
          <w:szCs w:val="24"/>
          <w:lang w:val="es-ES_tradnl"/>
        </w:rPr>
        <w:t>Se añaden los apartados 8 y 9 en el artículo 24 de la Ley 12/2012, de 21 de junio, contra el Dopaje en el Deporte, que quedarán redactados en los siguientes términos:</w:t>
      </w:r>
    </w:p>
    <w:p w14:paraId="0833917C"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3D60EFD4" w14:textId="77777777" w:rsidR="002C55F3" w:rsidRPr="009759D3" w:rsidRDefault="002C55F3" w:rsidP="002C55F3">
      <w:pPr>
        <w:autoSpaceDE w:val="0"/>
        <w:autoSpaceDN w:val="0"/>
        <w:adjustRightInd w:val="0"/>
        <w:ind w:left="708"/>
        <w:jc w:val="both"/>
        <w:rPr>
          <w:rFonts w:ascii="Garamond" w:hAnsi="Garamond" w:cs="Arial"/>
          <w:color w:val="000000" w:themeColor="text1"/>
          <w:sz w:val="24"/>
          <w:szCs w:val="24"/>
          <w:lang w:val="es-ES_tradnl"/>
        </w:rPr>
      </w:pPr>
      <w:r w:rsidRPr="009759D3">
        <w:rPr>
          <w:rFonts w:ascii="Garamond" w:hAnsi="Garamond" w:cs="Arial"/>
          <w:color w:val="000000" w:themeColor="text1"/>
          <w:sz w:val="24"/>
          <w:szCs w:val="24"/>
        </w:rPr>
        <w:t>«</w:t>
      </w:r>
      <w:r w:rsidRPr="009759D3">
        <w:rPr>
          <w:rFonts w:ascii="Garamond" w:hAnsi="Garamond" w:cs="Arial"/>
          <w:color w:val="000000" w:themeColor="text1"/>
          <w:sz w:val="24"/>
          <w:szCs w:val="24"/>
          <w:lang w:val="es-ES_tradnl"/>
        </w:rPr>
        <w:t xml:space="preserve">8.- Cuando la infracción de las normas de dopaje se deba al uso o consumo de sustancias de abuso, y la persona infractora pueda demostrar que su ingesta ocurrió́ fuera de </w:t>
      </w:r>
      <w:proofErr w:type="spellStart"/>
      <w:r w:rsidRPr="009759D3">
        <w:rPr>
          <w:rFonts w:ascii="Garamond" w:hAnsi="Garamond" w:cs="Arial"/>
          <w:color w:val="000000" w:themeColor="text1"/>
          <w:sz w:val="24"/>
          <w:szCs w:val="24"/>
          <w:lang w:val="es-ES_tradnl"/>
        </w:rPr>
        <w:t>competición</w:t>
      </w:r>
      <w:proofErr w:type="spellEnd"/>
      <w:r w:rsidRPr="009759D3">
        <w:rPr>
          <w:rFonts w:ascii="Garamond" w:hAnsi="Garamond" w:cs="Arial"/>
          <w:color w:val="000000" w:themeColor="text1"/>
          <w:sz w:val="24"/>
          <w:szCs w:val="24"/>
          <w:lang w:val="es-ES_tradnl"/>
        </w:rPr>
        <w:t xml:space="preserve"> y no guarda </w:t>
      </w:r>
      <w:proofErr w:type="spellStart"/>
      <w:r w:rsidRPr="009759D3">
        <w:rPr>
          <w:rFonts w:ascii="Garamond" w:hAnsi="Garamond" w:cs="Arial"/>
          <w:color w:val="000000" w:themeColor="text1"/>
          <w:sz w:val="24"/>
          <w:szCs w:val="24"/>
          <w:lang w:val="es-ES_tradnl"/>
        </w:rPr>
        <w:t>relación</w:t>
      </w:r>
      <w:proofErr w:type="spellEnd"/>
      <w:r w:rsidRPr="009759D3">
        <w:rPr>
          <w:rFonts w:ascii="Garamond" w:hAnsi="Garamond" w:cs="Arial"/>
          <w:color w:val="000000" w:themeColor="text1"/>
          <w:sz w:val="24"/>
          <w:szCs w:val="24"/>
          <w:lang w:val="es-ES_tradnl"/>
        </w:rPr>
        <w:t xml:space="preserve"> con el rendimiento deportivo, el periodo de suspensión o </w:t>
      </w:r>
      <w:proofErr w:type="spellStart"/>
      <w:r w:rsidRPr="009759D3">
        <w:rPr>
          <w:rFonts w:ascii="Garamond" w:hAnsi="Garamond" w:cs="Arial"/>
          <w:color w:val="000000" w:themeColor="text1"/>
          <w:sz w:val="24"/>
          <w:szCs w:val="24"/>
          <w:lang w:val="es-ES_tradnl"/>
        </w:rPr>
        <w:t>inhabilitación</w:t>
      </w:r>
      <w:proofErr w:type="spellEnd"/>
      <w:r w:rsidRPr="009759D3">
        <w:rPr>
          <w:rFonts w:ascii="Garamond" w:hAnsi="Garamond" w:cs="Arial"/>
          <w:color w:val="000000" w:themeColor="text1"/>
          <w:sz w:val="24"/>
          <w:szCs w:val="24"/>
          <w:lang w:val="es-ES_tradnl"/>
        </w:rPr>
        <w:t xml:space="preserve"> </w:t>
      </w:r>
      <w:proofErr w:type="spellStart"/>
      <w:r w:rsidRPr="009759D3">
        <w:rPr>
          <w:rFonts w:ascii="Garamond" w:hAnsi="Garamond" w:cs="Arial"/>
          <w:color w:val="000000" w:themeColor="text1"/>
          <w:sz w:val="24"/>
          <w:szCs w:val="24"/>
          <w:lang w:val="es-ES_tradnl"/>
        </w:rPr>
        <w:t>sera</w:t>
      </w:r>
      <w:proofErr w:type="spellEnd"/>
      <w:r w:rsidRPr="009759D3">
        <w:rPr>
          <w:rFonts w:ascii="Garamond" w:hAnsi="Garamond" w:cs="Arial"/>
          <w:color w:val="000000" w:themeColor="text1"/>
          <w:sz w:val="24"/>
          <w:szCs w:val="24"/>
          <w:lang w:val="es-ES_tradnl"/>
        </w:rPr>
        <w:t>́ de tres meses. Dicho periodo de sanci</w:t>
      </w:r>
      <w:r w:rsidRPr="009759D3">
        <w:rPr>
          <w:rFonts w:ascii="Garamond" w:hAnsi="Garamond" w:cs="Garamond"/>
          <w:color w:val="000000" w:themeColor="text1"/>
          <w:sz w:val="24"/>
          <w:szCs w:val="24"/>
          <w:lang w:val="es-ES_tradnl"/>
        </w:rPr>
        <w:t>ó</w:t>
      </w:r>
      <w:r w:rsidRPr="009759D3">
        <w:rPr>
          <w:rFonts w:ascii="Garamond" w:hAnsi="Garamond" w:cs="Arial"/>
          <w:color w:val="000000" w:themeColor="text1"/>
          <w:sz w:val="24"/>
          <w:szCs w:val="24"/>
          <w:lang w:val="es-ES_tradnl"/>
        </w:rPr>
        <w:t xml:space="preserve">n </w:t>
      </w:r>
      <w:proofErr w:type="spellStart"/>
      <w:r w:rsidRPr="009759D3">
        <w:rPr>
          <w:rFonts w:ascii="Garamond" w:hAnsi="Garamond" w:cs="Arial"/>
          <w:color w:val="000000" w:themeColor="text1"/>
          <w:sz w:val="24"/>
          <w:szCs w:val="24"/>
          <w:lang w:val="es-ES_tradnl"/>
        </w:rPr>
        <w:t>podra</w:t>
      </w:r>
      <w:proofErr w:type="spellEnd"/>
      <w:r w:rsidRPr="009759D3">
        <w:rPr>
          <w:rFonts w:ascii="Garamond" w:hAnsi="Garamond" w:cs="Arial"/>
          <w:color w:val="000000" w:themeColor="text1"/>
          <w:sz w:val="24"/>
          <w:szCs w:val="24"/>
          <w:lang w:val="es-ES_tradnl"/>
        </w:rPr>
        <w:t xml:space="preserve">́ reducirse a un mes si se demuestra que la persona afectada ha seguido de manera satisfactoria un programa contra el uso indebido de sustancias establecido por las autoridades antidopaje. Si la ingesta, uso o </w:t>
      </w:r>
      <w:proofErr w:type="spellStart"/>
      <w:r w:rsidRPr="009759D3">
        <w:rPr>
          <w:rFonts w:ascii="Garamond" w:hAnsi="Garamond" w:cs="Arial"/>
          <w:color w:val="000000" w:themeColor="text1"/>
          <w:sz w:val="24"/>
          <w:szCs w:val="24"/>
          <w:lang w:val="es-ES_tradnl"/>
        </w:rPr>
        <w:t>posesión</w:t>
      </w:r>
      <w:proofErr w:type="spellEnd"/>
      <w:r w:rsidRPr="009759D3">
        <w:rPr>
          <w:rFonts w:ascii="Garamond" w:hAnsi="Garamond" w:cs="Arial"/>
          <w:color w:val="000000" w:themeColor="text1"/>
          <w:sz w:val="24"/>
          <w:szCs w:val="24"/>
          <w:lang w:val="es-ES_tradnl"/>
        </w:rPr>
        <w:t xml:space="preserve"> de sustancias de abuso tuviese lugar durante la competición y el o la deportista puede demostrar que el contexto en el que se produjo no tenía </w:t>
      </w:r>
      <w:proofErr w:type="spellStart"/>
      <w:r w:rsidRPr="009759D3">
        <w:rPr>
          <w:rFonts w:ascii="Garamond" w:hAnsi="Garamond" w:cs="Arial"/>
          <w:color w:val="000000" w:themeColor="text1"/>
          <w:sz w:val="24"/>
          <w:szCs w:val="24"/>
          <w:lang w:val="es-ES_tradnl"/>
        </w:rPr>
        <w:t>relación</w:t>
      </w:r>
      <w:proofErr w:type="spellEnd"/>
      <w:r w:rsidRPr="009759D3">
        <w:rPr>
          <w:rFonts w:ascii="Garamond" w:hAnsi="Garamond" w:cs="Arial"/>
          <w:color w:val="000000" w:themeColor="text1"/>
          <w:sz w:val="24"/>
          <w:szCs w:val="24"/>
          <w:lang w:val="es-ES_tradnl"/>
        </w:rPr>
        <w:t xml:space="preserve"> con el rendimiento deportivo, se considerar</w:t>
      </w:r>
      <w:r w:rsidRPr="009759D3">
        <w:rPr>
          <w:rFonts w:ascii="Garamond" w:hAnsi="Garamond" w:cs="Garamond"/>
          <w:color w:val="000000" w:themeColor="text1"/>
          <w:sz w:val="24"/>
          <w:szCs w:val="24"/>
          <w:lang w:val="es-ES_tradnl"/>
        </w:rPr>
        <w:t>á</w:t>
      </w:r>
      <w:r w:rsidRPr="009759D3">
        <w:rPr>
          <w:rFonts w:ascii="Garamond" w:hAnsi="Garamond" w:cs="Arial"/>
          <w:color w:val="000000" w:themeColor="text1"/>
          <w:sz w:val="24"/>
          <w:szCs w:val="24"/>
          <w:lang w:val="es-ES_tradnl"/>
        </w:rPr>
        <w:t xml:space="preserve"> como una acci</w:t>
      </w:r>
      <w:r w:rsidRPr="009759D3">
        <w:rPr>
          <w:rFonts w:ascii="Garamond" w:hAnsi="Garamond" w:cs="Garamond"/>
          <w:color w:val="000000" w:themeColor="text1"/>
          <w:sz w:val="24"/>
          <w:szCs w:val="24"/>
          <w:lang w:val="es-ES_tradnl"/>
        </w:rPr>
        <w:t>ó</w:t>
      </w:r>
      <w:r w:rsidRPr="009759D3">
        <w:rPr>
          <w:rFonts w:ascii="Garamond" w:hAnsi="Garamond" w:cs="Arial"/>
          <w:color w:val="000000" w:themeColor="text1"/>
          <w:sz w:val="24"/>
          <w:szCs w:val="24"/>
          <w:lang w:val="es-ES_tradnl"/>
        </w:rPr>
        <w:t>n o conducta no intencionada a efectos de la determinación de la sanción.</w:t>
      </w:r>
    </w:p>
    <w:p w14:paraId="4ADD712E" w14:textId="77777777" w:rsidR="002C55F3" w:rsidRPr="009759D3" w:rsidRDefault="002C55F3" w:rsidP="002C55F3">
      <w:pPr>
        <w:autoSpaceDE w:val="0"/>
        <w:autoSpaceDN w:val="0"/>
        <w:adjustRightInd w:val="0"/>
        <w:ind w:left="708"/>
        <w:jc w:val="both"/>
        <w:rPr>
          <w:rFonts w:ascii="Garamond" w:hAnsi="Garamond" w:cs="Arial"/>
          <w:color w:val="000000" w:themeColor="text1"/>
          <w:sz w:val="24"/>
          <w:szCs w:val="24"/>
          <w:lang w:val="es-ES_tradnl"/>
        </w:rPr>
      </w:pPr>
      <w:r w:rsidRPr="009759D3">
        <w:rPr>
          <w:rFonts w:ascii="Garamond" w:hAnsi="Garamond" w:cs="Arial"/>
          <w:color w:val="000000" w:themeColor="text1"/>
          <w:sz w:val="24"/>
          <w:szCs w:val="24"/>
          <w:lang w:val="es-ES_tradnl"/>
        </w:rPr>
        <w:t>9.- Por la comisión de la infracción prevista en el artículo 23.1.n) de esta ley, y en base a la gravedad y circunstancias concurrentes, se impondrá la sanción de suspensión, privación o imposibilidad de obtención de licencia federativa por un periodo de entre dos años y la suspensión a perpetuidad</w:t>
      </w:r>
      <w:r w:rsidRPr="009759D3">
        <w:rPr>
          <w:rFonts w:ascii="Garamond" w:hAnsi="Garamond" w:cs="Arial"/>
          <w:color w:val="000000" w:themeColor="text1"/>
          <w:sz w:val="24"/>
          <w:szCs w:val="24"/>
        </w:rPr>
        <w:t>»</w:t>
      </w:r>
      <w:r w:rsidRPr="009759D3">
        <w:rPr>
          <w:rFonts w:ascii="Garamond" w:hAnsi="Garamond" w:cs="Arial"/>
          <w:color w:val="000000" w:themeColor="text1"/>
          <w:sz w:val="24"/>
          <w:szCs w:val="24"/>
          <w:lang w:val="es-ES_tradnl"/>
        </w:rPr>
        <w:t>.</w:t>
      </w:r>
    </w:p>
    <w:p w14:paraId="2C4BD165"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73ACE7CE" w14:textId="77777777" w:rsidR="002C55F3" w:rsidRPr="009759D3" w:rsidRDefault="002C55F3" w:rsidP="002C55F3">
      <w:pPr>
        <w:autoSpaceDE w:val="0"/>
        <w:autoSpaceDN w:val="0"/>
        <w:adjustRightInd w:val="0"/>
        <w:jc w:val="both"/>
        <w:rPr>
          <w:rFonts w:ascii="Garamond" w:hAnsi="Garamond" w:cs="Arial"/>
          <w:b/>
          <w:bCs/>
          <w:color w:val="000000" w:themeColor="text1"/>
          <w:sz w:val="24"/>
          <w:szCs w:val="24"/>
          <w:lang w:val="es-ES_tradnl"/>
        </w:rPr>
      </w:pPr>
      <w:r w:rsidRPr="009759D3">
        <w:rPr>
          <w:rFonts w:ascii="Garamond" w:hAnsi="Garamond" w:cs="Arial"/>
          <w:b/>
          <w:bCs/>
          <w:color w:val="000000" w:themeColor="text1"/>
          <w:sz w:val="24"/>
          <w:szCs w:val="24"/>
          <w:lang w:val="es-ES_tradnl"/>
        </w:rPr>
        <w:t xml:space="preserve">Artículo </w:t>
      </w:r>
      <w:proofErr w:type="spellStart"/>
      <w:r w:rsidRPr="009759D3">
        <w:rPr>
          <w:rFonts w:ascii="Garamond" w:hAnsi="Garamond" w:cs="Arial"/>
          <w:b/>
          <w:bCs/>
          <w:color w:val="000000" w:themeColor="text1"/>
          <w:sz w:val="24"/>
          <w:szCs w:val="24"/>
          <w:lang w:val="es-ES_tradnl"/>
        </w:rPr>
        <w:t>Vigésimo.</w:t>
      </w:r>
      <w:r w:rsidRPr="009759D3">
        <w:rPr>
          <w:rFonts w:ascii="Garamond" w:hAnsi="Garamond" w:cs="Arial"/>
          <w:color w:val="000000" w:themeColor="text1"/>
          <w:sz w:val="24"/>
          <w:szCs w:val="24"/>
          <w:lang w:val="es-ES_tradnl"/>
        </w:rPr>
        <w:t>Se</w:t>
      </w:r>
      <w:proofErr w:type="spellEnd"/>
      <w:r w:rsidRPr="009759D3">
        <w:rPr>
          <w:rFonts w:ascii="Garamond" w:hAnsi="Garamond" w:cs="Arial"/>
          <w:color w:val="000000" w:themeColor="text1"/>
          <w:sz w:val="24"/>
          <w:szCs w:val="24"/>
          <w:lang w:val="es-ES_tradnl"/>
        </w:rPr>
        <w:t xml:space="preserve"> modifica el apartado 1 del artículo 24 bis de la Ley 12/2012, de 21 de junio, contra el Dopaje en el Deporte, que quedará redactado en los siguientes términos:</w:t>
      </w:r>
    </w:p>
    <w:p w14:paraId="4B45BB0D" w14:textId="77777777" w:rsidR="002C55F3" w:rsidRPr="009759D3" w:rsidRDefault="002C55F3" w:rsidP="002C55F3">
      <w:pPr>
        <w:autoSpaceDE w:val="0"/>
        <w:autoSpaceDN w:val="0"/>
        <w:adjustRightInd w:val="0"/>
        <w:spacing w:before="113"/>
        <w:jc w:val="both"/>
        <w:rPr>
          <w:rFonts w:ascii="Garamond" w:hAnsi="Garamond" w:cs="Arial"/>
          <w:color w:val="000000" w:themeColor="text1"/>
          <w:sz w:val="24"/>
          <w:szCs w:val="24"/>
          <w:lang w:val="es-ES_tradnl"/>
        </w:rPr>
      </w:pPr>
    </w:p>
    <w:p w14:paraId="4D25CD3F" w14:textId="77777777" w:rsidR="002C55F3" w:rsidRPr="009759D3" w:rsidRDefault="002C55F3" w:rsidP="002C55F3">
      <w:pPr>
        <w:autoSpaceDE w:val="0"/>
        <w:autoSpaceDN w:val="0"/>
        <w:adjustRightInd w:val="0"/>
        <w:ind w:left="708"/>
        <w:jc w:val="both"/>
        <w:rPr>
          <w:rFonts w:ascii="Garamond" w:hAnsi="Garamond" w:cs="Arial"/>
          <w:color w:val="000000" w:themeColor="text1"/>
          <w:sz w:val="24"/>
          <w:szCs w:val="24"/>
          <w:lang w:val="es-ES_tradnl"/>
        </w:rPr>
      </w:pPr>
      <w:r w:rsidRPr="009759D3">
        <w:rPr>
          <w:rFonts w:ascii="Garamond" w:hAnsi="Garamond" w:cs="Arial"/>
          <w:color w:val="000000" w:themeColor="text1"/>
          <w:sz w:val="24"/>
          <w:szCs w:val="24"/>
        </w:rPr>
        <w:t>«</w:t>
      </w:r>
      <w:r w:rsidRPr="009759D3">
        <w:rPr>
          <w:rFonts w:ascii="Garamond" w:hAnsi="Garamond" w:cs="Arial"/>
          <w:color w:val="000000" w:themeColor="text1"/>
          <w:sz w:val="24"/>
          <w:szCs w:val="24"/>
          <w:lang w:val="es-ES_tradnl"/>
        </w:rPr>
        <w:t xml:space="preserve">1.- </w:t>
      </w:r>
      <w:r w:rsidRPr="009759D3">
        <w:rPr>
          <w:rFonts w:ascii="Garamond" w:hAnsi="Garamond" w:cs="Arial"/>
          <w:color w:val="000000" w:themeColor="text1"/>
          <w:sz w:val="24"/>
          <w:szCs w:val="24"/>
        </w:rPr>
        <w:t xml:space="preserve">En caso de una segunda </w:t>
      </w:r>
      <w:proofErr w:type="spellStart"/>
      <w:r w:rsidRPr="009759D3">
        <w:rPr>
          <w:rFonts w:ascii="Garamond" w:hAnsi="Garamond" w:cs="Arial"/>
          <w:color w:val="000000" w:themeColor="text1"/>
          <w:sz w:val="24"/>
          <w:szCs w:val="24"/>
        </w:rPr>
        <w:t>infracción</w:t>
      </w:r>
      <w:proofErr w:type="spellEnd"/>
      <w:r w:rsidRPr="009759D3">
        <w:rPr>
          <w:rFonts w:ascii="Garamond" w:hAnsi="Garamond" w:cs="Arial"/>
          <w:color w:val="000000" w:themeColor="text1"/>
          <w:sz w:val="24"/>
          <w:szCs w:val="24"/>
        </w:rPr>
        <w:t xml:space="preserve"> de las normas antidopaje el periodo de </w:t>
      </w:r>
      <w:r w:rsidRPr="009759D3">
        <w:rPr>
          <w:rFonts w:ascii="Garamond" w:hAnsi="Garamond" w:cs="Arial"/>
          <w:i/>
          <w:iCs/>
          <w:color w:val="000000" w:themeColor="text1"/>
          <w:sz w:val="24"/>
          <w:szCs w:val="24"/>
          <w:lang w:val="es-ES_tradnl"/>
        </w:rPr>
        <w:t>sanción</w:t>
      </w:r>
      <w:r w:rsidRPr="009759D3">
        <w:rPr>
          <w:rFonts w:ascii="Garamond" w:hAnsi="Garamond" w:cs="Arial"/>
          <w:i/>
          <w:iCs/>
          <w:color w:val="000000" w:themeColor="text1"/>
          <w:sz w:val="24"/>
          <w:szCs w:val="24"/>
        </w:rPr>
        <w:t xml:space="preserve"> </w:t>
      </w:r>
      <w:proofErr w:type="spellStart"/>
      <w:r w:rsidRPr="009759D3">
        <w:rPr>
          <w:rFonts w:ascii="Garamond" w:hAnsi="Garamond" w:cs="Arial"/>
          <w:color w:val="000000" w:themeColor="text1"/>
          <w:sz w:val="24"/>
          <w:szCs w:val="24"/>
        </w:rPr>
        <w:t>sera</w:t>
      </w:r>
      <w:proofErr w:type="spellEnd"/>
      <w:r w:rsidRPr="009759D3">
        <w:rPr>
          <w:rFonts w:ascii="Garamond" w:hAnsi="Garamond" w:cs="Arial"/>
          <w:color w:val="000000" w:themeColor="text1"/>
          <w:sz w:val="24"/>
          <w:szCs w:val="24"/>
        </w:rPr>
        <w:t xml:space="preserve">́ el </w:t>
      </w:r>
      <w:proofErr w:type="spellStart"/>
      <w:r w:rsidRPr="009759D3">
        <w:rPr>
          <w:rFonts w:ascii="Garamond" w:hAnsi="Garamond" w:cs="Arial"/>
          <w:color w:val="000000" w:themeColor="text1"/>
          <w:sz w:val="24"/>
          <w:szCs w:val="24"/>
        </w:rPr>
        <w:t>más</w:t>
      </w:r>
      <w:proofErr w:type="spellEnd"/>
      <w:r w:rsidRPr="009759D3">
        <w:rPr>
          <w:rFonts w:ascii="Garamond" w:hAnsi="Garamond" w:cs="Arial"/>
          <w:color w:val="000000" w:themeColor="text1"/>
          <w:sz w:val="24"/>
          <w:szCs w:val="24"/>
        </w:rPr>
        <w:t xml:space="preserve"> largo que resulte de los siguientes: </w:t>
      </w:r>
    </w:p>
    <w:p w14:paraId="3E3FB677" w14:textId="77777777" w:rsidR="002C55F3" w:rsidRPr="009759D3" w:rsidRDefault="002C55F3" w:rsidP="002C55F3">
      <w:pPr>
        <w:numPr>
          <w:ilvl w:val="0"/>
          <w:numId w:val="5"/>
        </w:numPr>
        <w:autoSpaceDE w:val="0"/>
        <w:autoSpaceDN w:val="0"/>
        <w:adjustRightInd w:val="0"/>
        <w:spacing w:after="0" w:line="240" w:lineRule="auto"/>
        <w:ind w:left="1428"/>
        <w:jc w:val="both"/>
        <w:rPr>
          <w:rFonts w:ascii="Garamond" w:hAnsi="Garamond" w:cs="Arial"/>
          <w:color w:val="000000" w:themeColor="text1"/>
          <w:sz w:val="24"/>
          <w:szCs w:val="24"/>
        </w:rPr>
      </w:pPr>
      <w:r w:rsidRPr="009759D3">
        <w:rPr>
          <w:rFonts w:ascii="Garamond" w:hAnsi="Garamond" w:cs="Arial"/>
          <w:color w:val="000000" w:themeColor="text1"/>
          <w:sz w:val="24"/>
          <w:szCs w:val="24"/>
        </w:rPr>
        <w:t xml:space="preserve">Un periodo de suspensión o </w:t>
      </w:r>
      <w:proofErr w:type="spellStart"/>
      <w:r w:rsidRPr="009759D3">
        <w:rPr>
          <w:rFonts w:ascii="Garamond" w:hAnsi="Garamond" w:cs="Arial"/>
          <w:color w:val="000000" w:themeColor="text1"/>
          <w:sz w:val="24"/>
          <w:szCs w:val="24"/>
        </w:rPr>
        <w:t>inhabilitación</w:t>
      </w:r>
      <w:proofErr w:type="spellEnd"/>
      <w:r w:rsidRPr="009759D3">
        <w:rPr>
          <w:rFonts w:ascii="Garamond" w:hAnsi="Garamond" w:cs="Arial"/>
          <w:color w:val="000000" w:themeColor="text1"/>
          <w:sz w:val="24"/>
          <w:szCs w:val="24"/>
        </w:rPr>
        <w:t xml:space="preserve"> de seis meses; o</w:t>
      </w:r>
    </w:p>
    <w:p w14:paraId="2D47BF22" w14:textId="77777777" w:rsidR="002C55F3" w:rsidRPr="009759D3" w:rsidRDefault="002C55F3" w:rsidP="002C55F3">
      <w:pPr>
        <w:numPr>
          <w:ilvl w:val="0"/>
          <w:numId w:val="5"/>
        </w:numPr>
        <w:autoSpaceDE w:val="0"/>
        <w:autoSpaceDN w:val="0"/>
        <w:adjustRightInd w:val="0"/>
        <w:spacing w:after="0" w:line="240" w:lineRule="auto"/>
        <w:ind w:left="1428"/>
        <w:jc w:val="both"/>
        <w:rPr>
          <w:rFonts w:ascii="Garamond" w:hAnsi="Garamond" w:cs="Arial"/>
          <w:color w:val="000000" w:themeColor="text1"/>
          <w:sz w:val="24"/>
          <w:szCs w:val="24"/>
        </w:rPr>
      </w:pPr>
      <w:r w:rsidRPr="009759D3">
        <w:rPr>
          <w:rFonts w:ascii="Garamond" w:hAnsi="Garamond" w:cs="Arial"/>
          <w:color w:val="000000" w:themeColor="text1"/>
          <w:sz w:val="24"/>
          <w:szCs w:val="24"/>
        </w:rPr>
        <w:t xml:space="preserve">Un periodo de suspensión o </w:t>
      </w:r>
      <w:proofErr w:type="spellStart"/>
      <w:r w:rsidRPr="009759D3">
        <w:rPr>
          <w:rFonts w:ascii="Garamond" w:hAnsi="Garamond" w:cs="Arial"/>
          <w:color w:val="000000" w:themeColor="text1"/>
          <w:sz w:val="24"/>
          <w:szCs w:val="24"/>
        </w:rPr>
        <w:t>inhabilitación</w:t>
      </w:r>
      <w:proofErr w:type="spellEnd"/>
      <w:r w:rsidRPr="009759D3">
        <w:rPr>
          <w:rFonts w:ascii="Garamond" w:hAnsi="Garamond" w:cs="Arial"/>
          <w:color w:val="000000" w:themeColor="text1"/>
          <w:sz w:val="24"/>
          <w:szCs w:val="24"/>
        </w:rPr>
        <w:t xml:space="preserve"> de una </w:t>
      </w:r>
      <w:proofErr w:type="spellStart"/>
      <w:r w:rsidRPr="009759D3">
        <w:rPr>
          <w:rFonts w:ascii="Garamond" w:hAnsi="Garamond" w:cs="Arial"/>
          <w:color w:val="000000" w:themeColor="text1"/>
          <w:sz w:val="24"/>
          <w:szCs w:val="24"/>
        </w:rPr>
        <w:t>duración</w:t>
      </w:r>
      <w:proofErr w:type="spellEnd"/>
      <w:r w:rsidRPr="009759D3">
        <w:rPr>
          <w:rFonts w:ascii="Garamond" w:hAnsi="Garamond" w:cs="Arial"/>
          <w:color w:val="000000" w:themeColor="text1"/>
          <w:sz w:val="24"/>
          <w:szCs w:val="24"/>
        </w:rPr>
        <w:t xml:space="preserve"> comprendida entre: </w:t>
      </w:r>
    </w:p>
    <w:p w14:paraId="347C5544" w14:textId="77777777" w:rsidR="002C55F3" w:rsidRPr="009759D3" w:rsidRDefault="002C55F3" w:rsidP="002C55F3">
      <w:pPr>
        <w:numPr>
          <w:ilvl w:val="0"/>
          <w:numId w:val="6"/>
        </w:numPr>
        <w:autoSpaceDE w:val="0"/>
        <w:autoSpaceDN w:val="0"/>
        <w:adjustRightInd w:val="0"/>
        <w:spacing w:after="0" w:line="240" w:lineRule="auto"/>
        <w:ind w:left="1560" w:hanging="283"/>
        <w:jc w:val="both"/>
        <w:rPr>
          <w:rFonts w:ascii="Garamond" w:hAnsi="Garamond" w:cs="Arial"/>
          <w:color w:val="000000" w:themeColor="text1"/>
          <w:sz w:val="24"/>
          <w:szCs w:val="24"/>
        </w:rPr>
      </w:pPr>
      <w:r w:rsidRPr="009759D3">
        <w:rPr>
          <w:rFonts w:ascii="Garamond" w:hAnsi="Garamond" w:cs="Arial"/>
          <w:color w:val="000000" w:themeColor="text1"/>
          <w:sz w:val="24"/>
          <w:szCs w:val="24"/>
        </w:rPr>
        <w:t xml:space="preserve">la suma del periodo de suspensión o </w:t>
      </w:r>
      <w:proofErr w:type="spellStart"/>
      <w:r w:rsidRPr="009759D3">
        <w:rPr>
          <w:rFonts w:ascii="Garamond" w:hAnsi="Garamond" w:cs="Arial"/>
          <w:color w:val="000000" w:themeColor="text1"/>
          <w:sz w:val="24"/>
          <w:szCs w:val="24"/>
        </w:rPr>
        <w:t>inhabilitación</w:t>
      </w:r>
      <w:proofErr w:type="spellEnd"/>
      <w:r w:rsidRPr="009759D3">
        <w:rPr>
          <w:rFonts w:ascii="Garamond" w:hAnsi="Garamond" w:cs="Arial"/>
          <w:color w:val="000000" w:themeColor="text1"/>
          <w:sz w:val="24"/>
          <w:szCs w:val="24"/>
        </w:rPr>
        <w:t xml:space="preserve"> impuesto por la primera </w:t>
      </w:r>
      <w:proofErr w:type="spellStart"/>
      <w:r w:rsidRPr="009759D3">
        <w:rPr>
          <w:rFonts w:ascii="Garamond" w:hAnsi="Garamond" w:cs="Arial"/>
          <w:color w:val="000000" w:themeColor="text1"/>
          <w:sz w:val="24"/>
          <w:szCs w:val="24"/>
        </w:rPr>
        <w:t>infracción</w:t>
      </w:r>
      <w:proofErr w:type="spellEnd"/>
      <w:r w:rsidRPr="009759D3">
        <w:rPr>
          <w:rFonts w:ascii="Garamond" w:hAnsi="Garamond" w:cs="Arial"/>
          <w:color w:val="000000" w:themeColor="text1"/>
          <w:sz w:val="24"/>
          <w:szCs w:val="24"/>
        </w:rPr>
        <w:t xml:space="preserve"> de las normas antidopaje </w:t>
      </w:r>
      <w:proofErr w:type="spellStart"/>
      <w:r w:rsidRPr="009759D3">
        <w:rPr>
          <w:rFonts w:ascii="Garamond" w:hAnsi="Garamond" w:cs="Arial"/>
          <w:color w:val="000000" w:themeColor="text1"/>
          <w:sz w:val="24"/>
          <w:szCs w:val="24"/>
        </w:rPr>
        <w:t>más</w:t>
      </w:r>
      <w:proofErr w:type="spellEnd"/>
      <w:r w:rsidRPr="009759D3">
        <w:rPr>
          <w:rFonts w:ascii="Garamond" w:hAnsi="Garamond" w:cs="Arial"/>
          <w:color w:val="000000" w:themeColor="text1"/>
          <w:sz w:val="24"/>
          <w:szCs w:val="24"/>
        </w:rPr>
        <w:t xml:space="preserve"> el periodo que </w:t>
      </w:r>
      <w:proofErr w:type="spellStart"/>
      <w:r w:rsidRPr="009759D3">
        <w:rPr>
          <w:rFonts w:ascii="Garamond" w:hAnsi="Garamond" w:cs="Arial"/>
          <w:color w:val="000000" w:themeColor="text1"/>
          <w:sz w:val="24"/>
          <w:szCs w:val="24"/>
        </w:rPr>
        <w:t>resultaría</w:t>
      </w:r>
      <w:proofErr w:type="spellEnd"/>
      <w:r w:rsidRPr="009759D3">
        <w:rPr>
          <w:rFonts w:ascii="Garamond" w:hAnsi="Garamond" w:cs="Arial"/>
          <w:color w:val="000000" w:themeColor="text1"/>
          <w:sz w:val="24"/>
          <w:szCs w:val="24"/>
        </w:rPr>
        <w:t xml:space="preserve"> de </w:t>
      </w:r>
      <w:proofErr w:type="spellStart"/>
      <w:r w:rsidRPr="009759D3">
        <w:rPr>
          <w:rFonts w:ascii="Garamond" w:hAnsi="Garamond" w:cs="Arial"/>
          <w:color w:val="000000" w:themeColor="text1"/>
          <w:sz w:val="24"/>
          <w:szCs w:val="24"/>
        </w:rPr>
        <w:t>aplicación</w:t>
      </w:r>
      <w:proofErr w:type="spellEnd"/>
      <w:r w:rsidRPr="009759D3">
        <w:rPr>
          <w:rFonts w:ascii="Garamond" w:hAnsi="Garamond" w:cs="Arial"/>
          <w:color w:val="000000" w:themeColor="text1"/>
          <w:sz w:val="24"/>
          <w:szCs w:val="24"/>
        </w:rPr>
        <w:t xml:space="preserve"> en caso de que la segunda </w:t>
      </w:r>
      <w:proofErr w:type="spellStart"/>
      <w:r w:rsidRPr="009759D3">
        <w:rPr>
          <w:rFonts w:ascii="Garamond" w:hAnsi="Garamond" w:cs="Arial"/>
          <w:color w:val="000000" w:themeColor="text1"/>
          <w:sz w:val="24"/>
          <w:szCs w:val="24"/>
        </w:rPr>
        <w:t>infracción</w:t>
      </w:r>
      <w:proofErr w:type="spellEnd"/>
      <w:r w:rsidRPr="009759D3">
        <w:rPr>
          <w:rFonts w:ascii="Garamond" w:hAnsi="Garamond" w:cs="Arial"/>
          <w:color w:val="000000" w:themeColor="text1"/>
          <w:sz w:val="24"/>
          <w:szCs w:val="24"/>
        </w:rPr>
        <w:t xml:space="preserve"> se considerase primera </w:t>
      </w:r>
      <w:proofErr w:type="spellStart"/>
      <w:r w:rsidRPr="009759D3">
        <w:rPr>
          <w:rFonts w:ascii="Garamond" w:hAnsi="Garamond" w:cs="Arial"/>
          <w:color w:val="000000" w:themeColor="text1"/>
          <w:sz w:val="24"/>
          <w:szCs w:val="24"/>
        </w:rPr>
        <w:t>infracción</w:t>
      </w:r>
      <w:proofErr w:type="spellEnd"/>
      <w:r w:rsidRPr="009759D3">
        <w:rPr>
          <w:rFonts w:ascii="Garamond" w:hAnsi="Garamond" w:cs="Arial"/>
          <w:color w:val="000000" w:themeColor="text1"/>
          <w:sz w:val="24"/>
          <w:szCs w:val="24"/>
        </w:rPr>
        <w:t xml:space="preserve">, y </w:t>
      </w:r>
    </w:p>
    <w:p w14:paraId="20DFEA58" w14:textId="77777777" w:rsidR="002C55F3" w:rsidRPr="009759D3" w:rsidRDefault="002C55F3" w:rsidP="002C55F3">
      <w:pPr>
        <w:numPr>
          <w:ilvl w:val="0"/>
          <w:numId w:val="6"/>
        </w:numPr>
        <w:autoSpaceDE w:val="0"/>
        <w:autoSpaceDN w:val="0"/>
        <w:adjustRightInd w:val="0"/>
        <w:spacing w:after="0" w:line="240" w:lineRule="auto"/>
        <w:ind w:left="1560" w:hanging="283"/>
        <w:jc w:val="both"/>
        <w:rPr>
          <w:rFonts w:ascii="Garamond" w:hAnsi="Garamond" w:cs="Arial"/>
          <w:color w:val="000000" w:themeColor="text1"/>
          <w:sz w:val="24"/>
          <w:szCs w:val="24"/>
        </w:rPr>
      </w:pPr>
      <w:r w:rsidRPr="009759D3">
        <w:rPr>
          <w:rFonts w:ascii="Garamond" w:hAnsi="Garamond" w:cs="Arial"/>
          <w:color w:val="000000" w:themeColor="text1"/>
          <w:sz w:val="24"/>
          <w:szCs w:val="24"/>
        </w:rPr>
        <w:t xml:space="preserve">el doble del periodo de suspensión o </w:t>
      </w:r>
      <w:proofErr w:type="spellStart"/>
      <w:r w:rsidRPr="009759D3">
        <w:rPr>
          <w:rFonts w:ascii="Garamond" w:hAnsi="Garamond" w:cs="Arial"/>
          <w:color w:val="000000" w:themeColor="text1"/>
          <w:sz w:val="24"/>
          <w:szCs w:val="24"/>
        </w:rPr>
        <w:t>inhabilitación</w:t>
      </w:r>
      <w:proofErr w:type="spellEnd"/>
      <w:r w:rsidRPr="009759D3">
        <w:rPr>
          <w:rFonts w:ascii="Garamond" w:hAnsi="Garamond" w:cs="Arial"/>
          <w:color w:val="000000" w:themeColor="text1"/>
          <w:sz w:val="24"/>
          <w:szCs w:val="24"/>
        </w:rPr>
        <w:t xml:space="preserve"> que </w:t>
      </w:r>
      <w:proofErr w:type="spellStart"/>
      <w:r w:rsidRPr="009759D3">
        <w:rPr>
          <w:rFonts w:ascii="Garamond" w:hAnsi="Garamond" w:cs="Arial"/>
          <w:color w:val="000000" w:themeColor="text1"/>
          <w:sz w:val="24"/>
          <w:szCs w:val="24"/>
        </w:rPr>
        <w:t>habría</w:t>
      </w:r>
      <w:proofErr w:type="spellEnd"/>
      <w:r w:rsidRPr="009759D3">
        <w:rPr>
          <w:rFonts w:ascii="Garamond" w:hAnsi="Garamond" w:cs="Arial"/>
          <w:color w:val="000000" w:themeColor="text1"/>
          <w:sz w:val="24"/>
          <w:szCs w:val="24"/>
        </w:rPr>
        <w:t xml:space="preserve"> de aplicarse a la segunda </w:t>
      </w:r>
      <w:proofErr w:type="spellStart"/>
      <w:r w:rsidRPr="009759D3">
        <w:rPr>
          <w:rFonts w:ascii="Garamond" w:hAnsi="Garamond" w:cs="Arial"/>
          <w:color w:val="000000" w:themeColor="text1"/>
          <w:sz w:val="24"/>
          <w:szCs w:val="24"/>
        </w:rPr>
        <w:t>infracción</w:t>
      </w:r>
      <w:proofErr w:type="spellEnd"/>
      <w:r w:rsidRPr="009759D3">
        <w:rPr>
          <w:rFonts w:ascii="Garamond" w:hAnsi="Garamond" w:cs="Arial"/>
          <w:color w:val="000000" w:themeColor="text1"/>
          <w:sz w:val="24"/>
          <w:szCs w:val="24"/>
        </w:rPr>
        <w:t xml:space="preserve"> considerada como si fuera una primera, </w:t>
      </w:r>
      <w:proofErr w:type="spellStart"/>
      <w:r w:rsidRPr="009759D3">
        <w:rPr>
          <w:rFonts w:ascii="Garamond" w:hAnsi="Garamond" w:cs="Arial"/>
          <w:color w:val="000000" w:themeColor="text1"/>
          <w:sz w:val="24"/>
          <w:szCs w:val="24"/>
        </w:rPr>
        <w:t>determinándose</w:t>
      </w:r>
      <w:proofErr w:type="spellEnd"/>
      <w:r w:rsidRPr="009759D3">
        <w:rPr>
          <w:rFonts w:ascii="Garamond" w:hAnsi="Garamond" w:cs="Arial"/>
          <w:color w:val="000000" w:themeColor="text1"/>
          <w:sz w:val="24"/>
          <w:szCs w:val="24"/>
        </w:rPr>
        <w:t xml:space="preserve"> la </w:t>
      </w:r>
      <w:proofErr w:type="spellStart"/>
      <w:r w:rsidRPr="009759D3">
        <w:rPr>
          <w:rFonts w:ascii="Garamond" w:hAnsi="Garamond" w:cs="Arial"/>
          <w:color w:val="000000" w:themeColor="text1"/>
          <w:sz w:val="24"/>
          <w:szCs w:val="24"/>
        </w:rPr>
        <w:t>duración</w:t>
      </w:r>
      <w:proofErr w:type="spellEnd"/>
      <w:r w:rsidRPr="009759D3">
        <w:rPr>
          <w:rFonts w:ascii="Garamond" w:hAnsi="Garamond" w:cs="Arial"/>
          <w:color w:val="000000" w:themeColor="text1"/>
          <w:sz w:val="24"/>
          <w:szCs w:val="24"/>
        </w:rPr>
        <w:t xml:space="preserve"> de dicho periodo de sanción en </w:t>
      </w:r>
      <w:proofErr w:type="spellStart"/>
      <w:r w:rsidRPr="009759D3">
        <w:rPr>
          <w:rFonts w:ascii="Garamond" w:hAnsi="Garamond" w:cs="Arial"/>
          <w:color w:val="000000" w:themeColor="text1"/>
          <w:sz w:val="24"/>
          <w:szCs w:val="24"/>
        </w:rPr>
        <w:t>función</w:t>
      </w:r>
      <w:proofErr w:type="spellEnd"/>
      <w:r w:rsidRPr="009759D3">
        <w:rPr>
          <w:rFonts w:ascii="Garamond" w:hAnsi="Garamond" w:cs="Arial"/>
          <w:color w:val="000000" w:themeColor="text1"/>
          <w:sz w:val="24"/>
          <w:szCs w:val="24"/>
        </w:rPr>
        <w:t xml:space="preserve"> de la </w:t>
      </w:r>
      <w:r w:rsidRPr="009759D3">
        <w:rPr>
          <w:rFonts w:ascii="Garamond" w:hAnsi="Garamond" w:cs="Arial"/>
          <w:color w:val="000000" w:themeColor="text1"/>
          <w:sz w:val="24"/>
          <w:szCs w:val="24"/>
        </w:rPr>
        <w:lastRenderedPageBreak/>
        <w:t xml:space="preserve">totalidad de las circunstancias y el grado de </w:t>
      </w:r>
      <w:proofErr w:type="spellStart"/>
      <w:r w:rsidRPr="009759D3">
        <w:rPr>
          <w:rFonts w:ascii="Garamond" w:hAnsi="Garamond" w:cs="Arial"/>
          <w:color w:val="000000" w:themeColor="text1"/>
          <w:sz w:val="24"/>
          <w:szCs w:val="24"/>
        </w:rPr>
        <w:t>culplabilidad</w:t>
      </w:r>
      <w:proofErr w:type="spellEnd"/>
      <w:r w:rsidRPr="009759D3">
        <w:rPr>
          <w:rFonts w:ascii="Garamond" w:hAnsi="Garamond" w:cs="Arial"/>
          <w:color w:val="000000" w:themeColor="text1"/>
          <w:sz w:val="24"/>
          <w:szCs w:val="24"/>
        </w:rPr>
        <w:t xml:space="preserve"> de la </w:t>
      </w:r>
      <w:proofErr w:type="spellStart"/>
      <w:r w:rsidRPr="009759D3">
        <w:rPr>
          <w:rFonts w:ascii="Garamond" w:hAnsi="Garamond" w:cs="Arial"/>
          <w:color w:val="000000" w:themeColor="text1"/>
          <w:sz w:val="24"/>
          <w:szCs w:val="24"/>
        </w:rPr>
        <w:t>persna</w:t>
      </w:r>
      <w:proofErr w:type="spellEnd"/>
      <w:r w:rsidRPr="009759D3">
        <w:rPr>
          <w:rFonts w:ascii="Garamond" w:hAnsi="Garamond" w:cs="Arial"/>
          <w:color w:val="000000" w:themeColor="text1"/>
          <w:sz w:val="24"/>
          <w:szCs w:val="24"/>
        </w:rPr>
        <w:t xml:space="preserve"> infractora en </w:t>
      </w:r>
      <w:proofErr w:type="spellStart"/>
      <w:r w:rsidRPr="009759D3">
        <w:rPr>
          <w:rFonts w:ascii="Garamond" w:hAnsi="Garamond" w:cs="Arial"/>
          <w:color w:val="000000" w:themeColor="text1"/>
          <w:sz w:val="24"/>
          <w:szCs w:val="24"/>
        </w:rPr>
        <w:t>relación</w:t>
      </w:r>
      <w:proofErr w:type="spellEnd"/>
      <w:r w:rsidRPr="009759D3">
        <w:rPr>
          <w:rFonts w:ascii="Garamond" w:hAnsi="Garamond" w:cs="Arial"/>
          <w:color w:val="000000" w:themeColor="text1"/>
          <w:sz w:val="24"/>
          <w:szCs w:val="24"/>
        </w:rPr>
        <w:t xml:space="preserve"> con la segunda </w:t>
      </w:r>
      <w:proofErr w:type="spellStart"/>
      <w:r w:rsidRPr="009759D3">
        <w:rPr>
          <w:rFonts w:ascii="Garamond" w:hAnsi="Garamond" w:cs="Arial"/>
          <w:color w:val="000000" w:themeColor="text1"/>
          <w:sz w:val="24"/>
          <w:szCs w:val="24"/>
        </w:rPr>
        <w:t>infracción</w:t>
      </w:r>
      <w:proofErr w:type="spellEnd"/>
      <w:r w:rsidRPr="009759D3">
        <w:rPr>
          <w:rFonts w:ascii="Garamond" w:hAnsi="Garamond" w:cs="Arial"/>
          <w:color w:val="000000" w:themeColor="text1"/>
          <w:sz w:val="24"/>
          <w:szCs w:val="24"/>
        </w:rPr>
        <w:t xml:space="preserve">». </w:t>
      </w:r>
    </w:p>
    <w:p w14:paraId="492E073D"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05D87DC4"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r w:rsidRPr="009759D3">
        <w:rPr>
          <w:rFonts w:ascii="Garamond" w:hAnsi="Garamond" w:cs="Arial"/>
          <w:b/>
          <w:bCs/>
          <w:color w:val="000000" w:themeColor="text1"/>
          <w:sz w:val="24"/>
          <w:szCs w:val="24"/>
          <w:lang w:val="es-ES_tradnl"/>
        </w:rPr>
        <w:t>Artículo Vigésimo Primero</w:t>
      </w:r>
      <w:r w:rsidRPr="009759D3">
        <w:rPr>
          <w:rFonts w:ascii="Garamond" w:hAnsi="Garamond" w:cs="Arial"/>
          <w:color w:val="000000" w:themeColor="text1"/>
          <w:sz w:val="24"/>
          <w:szCs w:val="24"/>
          <w:lang w:val="es-ES_tradnl"/>
        </w:rPr>
        <w:t>. Se añaden los apartados 8 y 9 en el artículo 24 bis de la Ley 12/2012, de 21 de junio, contra el Dopaje en el Deporte, que quedarán redactados en los siguientes términos:</w:t>
      </w:r>
    </w:p>
    <w:p w14:paraId="5D5D6A12"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63BB1246" w14:textId="77777777" w:rsidR="002C55F3" w:rsidRPr="009759D3" w:rsidRDefault="002C55F3" w:rsidP="002C55F3">
      <w:pPr>
        <w:autoSpaceDE w:val="0"/>
        <w:autoSpaceDN w:val="0"/>
        <w:adjustRightInd w:val="0"/>
        <w:ind w:left="708"/>
        <w:jc w:val="both"/>
        <w:rPr>
          <w:rFonts w:ascii="Garamond" w:hAnsi="Garamond" w:cs="Arial"/>
          <w:color w:val="000000" w:themeColor="text1"/>
          <w:sz w:val="24"/>
          <w:szCs w:val="24"/>
          <w:lang w:val="es-ES_tradnl"/>
        </w:rPr>
      </w:pPr>
      <w:r w:rsidRPr="009759D3">
        <w:rPr>
          <w:rFonts w:ascii="Garamond" w:hAnsi="Garamond" w:cs="Arial"/>
          <w:color w:val="000000" w:themeColor="text1"/>
          <w:sz w:val="24"/>
          <w:szCs w:val="24"/>
        </w:rPr>
        <w:t>«</w:t>
      </w:r>
      <w:r w:rsidRPr="009759D3">
        <w:rPr>
          <w:rFonts w:ascii="Garamond" w:hAnsi="Garamond" w:cs="Arial"/>
          <w:color w:val="000000" w:themeColor="text1"/>
          <w:sz w:val="24"/>
          <w:szCs w:val="24"/>
          <w:lang w:val="es-ES_tradnl"/>
        </w:rPr>
        <w:t>8.- El periodo de suspensión o inhabilitación impuesto en base a lo previsto en los dos primeros apartados de este artículo podrá llegar a ser reducido con posterioridad a la imposición de la sanción en el caso previsto en el artículo 35 de esta Ley.</w:t>
      </w:r>
    </w:p>
    <w:p w14:paraId="1AB8EA30" w14:textId="77777777" w:rsidR="002C55F3" w:rsidRPr="009759D3" w:rsidRDefault="002C55F3" w:rsidP="002C55F3">
      <w:pPr>
        <w:autoSpaceDE w:val="0"/>
        <w:autoSpaceDN w:val="0"/>
        <w:adjustRightInd w:val="0"/>
        <w:ind w:left="708"/>
        <w:jc w:val="both"/>
        <w:rPr>
          <w:rFonts w:ascii="Garamond" w:hAnsi="Garamond" w:cs="Arial"/>
          <w:color w:val="000000" w:themeColor="text1"/>
          <w:sz w:val="24"/>
          <w:szCs w:val="24"/>
          <w:lang w:val="es-ES_tradnl"/>
        </w:rPr>
      </w:pPr>
      <w:r w:rsidRPr="009759D3">
        <w:rPr>
          <w:rFonts w:ascii="Garamond" w:hAnsi="Garamond" w:cs="Arial"/>
          <w:color w:val="000000" w:themeColor="text1"/>
          <w:sz w:val="24"/>
          <w:szCs w:val="24"/>
          <w:lang w:val="es-ES_tradnl"/>
        </w:rPr>
        <w:t>9.- En los supuestos de infracciones múltiples de las normas de dopaje se aplicarán los criterios previstos en el artículo 10.9.3 del Código Mundial Antidopaje</w:t>
      </w:r>
      <w:r w:rsidRPr="009759D3">
        <w:rPr>
          <w:rFonts w:ascii="Garamond" w:hAnsi="Garamond" w:cs="Arial"/>
          <w:color w:val="000000" w:themeColor="text1"/>
          <w:sz w:val="24"/>
          <w:szCs w:val="24"/>
        </w:rPr>
        <w:t>»</w:t>
      </w:r>
      <w:r w:rsidRPr="009759D3">
        <w:rPr>
          <w:rFonts w:ascii="Garamond" w:hAnsi="Garamond" w:cs="Arial"/>
          <w:color w:val="000000" w:themeColor="text1"/>
          <w:sz w:val="24"/>
          <w:szCs w:val="24"/>
          <w:lang w:val="es-ES_tradnl"/>
        </w:rPr>
        <w:t>.</w:t>
      </w:r>
    </w:p>
    <w:p w14:paraId="42FCF659"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7D839609" w14:textId="77777777" w:rsidR="002C55F3" w:rsidRPr="009759D3" w:rsidRDefault="008B34A3" w:rsidP="002C55F3">
      <w:pPr>
        <w:autoSpaceDE w:val="0"/>
        <w:autoSpaceDN w:val="0"/>
        <w:adjustRightInd w:val="0"/>
        <w:jc w:val="both"/>
        <w:rPr>
          <w:rFonts w:ascii="Garamond" w:hAnsi="Garamond" w:cs="Arial"/>
          <w:b/>
          <w:bCs/>
          <w:color w:val="000000" w:themeColor="text1"/>
          <w:sz w:val="24"/>
          <w:szCs w:val="24"/>
          <w:lang w:val="es-ES_tradnl"/>
        </w:rPr>
      </w:pPr>
      <w:r>
        <w:rPr>
          <w:rFonts w:ascii="Garamond" w:hAnsi="Garamond" w:cs="Arial"/>
          <w:b/>
          <w:bCs/>
          <w:color w:val="000000" w:themeColor="text1"/>
          <w:sz w:val="24"/>
          <w:szCs w:val="24"/>
          <w:lang w:val="es-ES_tradnl"/>
        </w:rPr>
        <w:t>Artículo Vigésimo Segundo.</w:t>
      </w:r>
      <w:r w:rsidR="002C55F3" w:rsidRPr="009759D3">
        <w:rPr>
          <w:rFonts w:ascii="Garamond" w:hAnsi="Garamond" w:cs="Arial"/>
          <w:b/>
          <w:bCs/>
          <w:color w:val="000000" w:themeColor="text1"/>
          <w:sz w:val="24"/>
          <w:szCs w:val="24"/>
          <w:lang w:val="es-ES_tradnl"/>
        </w:rPr>
        <w:t xml:space="preserve"> </w:t>
      </w:r>
      <w:r w:rsidR="002C55F3" w:rsidRPr="009759D3">
        <w:rPr>
          <w:rFonts w:ascii="Garamond" w:hAnsi="Garamond" w:cs="Arial"/>
          <w:color w:val="000000" w:themeColor="text1"/>
          <w:sz w:val="24"/>
          <w:szCs w:val="24"/>
          <w:lang w:val="es-ES_tradnl"/>
        </w:rPr>
        <w:t>Se añade un apartado 6 en el artículo 26 de la Ley 12/2012, de 21 de junio, contra el Dopaje en el Deporte, que quedará redactado en los siguientes términos:</w:t>
      </w:r>
    </w:p>
    <w:p w14:paraId="3C1FD214"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2BCB1804" w14:textId="77777777" w:rsidR="002C55F3" w:rsidRPr="009759D3" w:rsidRDefault="002C55F3" w:rsidP="002C55F3">
      <w:pPr>
        <w:autoSpaceDE w:val="0"/>
        <w:autoSpaceDN w:val="0"/>
        <w:adjustRightInd w:val="0"/>
        <w:ind w:left="708"/>
        <w:jc w:val="both"/>
        <w:rPr>
          <w:rFonts w:ascii="Garamond" w:hAnsi="Garamond" w:cs="Arial"/>
          <w:color w:val="000000" w:themeColor="text1"/>
          <w:sz w:val="24"/>
          <w:szCs w:val="24"/>
          <w:lang w:val="es-ES_tradnl"/>
        </w:rPr>
      </w:pPr>
      <w:r w:rsidRPr="009759D3">
        <w:rPr>
          <w:rFonts w:ascii="Garamond" w:hAnsi="Garamond" w:cs="Arial"/>
          <w:color w:val="000000" w:themeColor="text1"/>
          <w:sz w:val="24"/>
          <w:szCs w:val="24"/>
        </w:rPr>
        <w:t>«</w:t>
      </w:r>
      <w:r w:rsidRPr="009759D3">
        <w:rPr>
          <w:rFonts w:ascii="Garamond" w:hAnsi="Garamond" w:cs="Arial"/>
          <w:color w:val="000000" w:themeColor="text1"/>
          <w:sz w:val="24"/>
          <w:szCs w:val="24"/>
          <w:lang w:val="es-ES_tradnl"/>
        </w:rPr>
        <w:t>6.- Por la comisión de la infracción prevista en el artículo 23.1.n) de esta Ley, y en base a la gravedad y circunstancias concurrentes, se impondrá la sanción de suspensión, privación o imposibilidad de obtención de licencia federativa por un periodo de entre dos años y la suspensión a perpetuidad</w:t>
      </w:r>
      <w:r w:rsidRPr="009759D3">
        <w:rPr>
          <w:rFonts w:ascii="Garamond" w:hAnsi="Garamond" w:cs="Arial"/>
          <w:color w:val="000000" w:themeColor="text1"/>
          <w:sz w:val="24"/>
          <w:szCs w:val="24"/>
        </w:rPr>
        <w:t>»</w:t>
      </w:r>
      <w:r w:rsidRPr="009759D3">
        <w:rPr>
          <w:rFonts w:ascii="Garamond" w:hAnsi="Garamond" w:cs="Arial"/>
          <w:color w:val="000000" w:themeColor="text1"/>
          <w:sz w:val="24"/>
          <w:szCs w:val="24"/>
          <w:lang w:val="es-ES_tradnl"/>
        </w:rPr>
        <w:t>.</w:t>
      </w:r>
    </w:p>
    <w:p w14:paraId="2965279F"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28ADD442" w14:textId="77777777" w:rsidR="002C55F3" w:rsidRPr="009759D3" w:rsidRDefault="002C55F3" w:rsidP="002C55F3">
      <w:pPr>
        <w:autoSpaceDE w:val="0"/>
        <w:autoSpaceDN w:val="0"/>
        <w:adjustRightInd w:val="0"/>
        <w:jc w:val="both"/>
        <w:rPr>
          <w:rFonts w:ascii="Garamond" w:hAnsi="Garamond" w:cs="Arial"/>
          <w:b/>
          <w:bCs/>
          <w:color w:val="000000" w:themeColor="text1"/>
          <w:sz w:val="24"/>
          <w:szCs w:val="24"/>
          <w:lang w:val="es-ES_tradnl"/>
        </w:rPr>
      </w:pPr>
      <w:r w:rsidRPr="009759D3">
        <w:rPr>
          <w:rFonts w:ascii="Garamond" w:hAnsi="Garamond" w:cs="Arial"/>
          <w:b/>
          <w:bCs/>
          <w:color w:val="000000" w:themeColor="text1"/>
          <w:sz w:val="24"/>
          <w:szCs w:val="24"/>
          <w:lang w:val="es-ES_tradnl"/>
        </w:rPr>
        <w:t xml:space="preserve">Artículo Vigésimo Tercero. </w:t>
      </w:r>
      <w:r w:rsidRPr="009759D3">
        <w:rPr>
          <w:rFonts w:ascii="Garamond" w:hAnsi="Garamond" w:cs="Arial"/>
          <w:color w:val="000000" w:themeColor="text1"/>
          <w:sz w:val="24"/>
          <w:szCs w:val="24"/>
          <w:lang w:val="es-ES_tradnl"/>
        </w:rPr>
        <w:t>Se añade un apartado 7 en el artículo 27 de la Ley 12/2012, de 21 de junio, contra el Dopaje en el Deporte, que quedará redactado en los siguientes términos:</w:t>
      </w:r>
    </w:p>
    <w:p w14:paraId="2FB4A51F"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402F5221" w14:textId="77777777" w:rsidR="002C55F3" w:rsidRPr="009759D3" w:rsidRDefault="002C55F3" w:rsidP="002C55F3">
      <w:pPr>
        <w:autoSpaceDE w:val="0"/>
        <w:autoSpaceDN w:val="0"/>
        <w:adjustRightInd w:val="0"/>
        <w:ind w:left="708"/>
        <w:jc w:val="both"/>
        <w:rPr>
          <w:rFonts w:ascii="Garamond" w:hAnsi="Garamond" w:cs="Arial"/>
          <w:color w:val="000000" w:themeColor="text1"/>
          <w:sz w:val="24"/>
          <w:szCs w:val="24"/>
          <w:lang w:val="es-ES_tradnl"/>
        </w:rPr>
      </w:pPr>
      <w:r w:rsidRPr="009759D3">
        <w:rPr>
          <w:rFonts w:ascii="Garamond" w:hAnsi="Garamond" w:cs="Arial"/>
          <w:color w:val="000000" w:themeColor="text1"/>
          <w:sz w:val="24"/>
          <w:szCs w:val="24"/>
        </w:rPr>
        <w:t>«</w:t>
      </w:r>
      <w:r w:rsidRPr="009759D3">
        <w:rPr>
          <w:rFonts w:ascii="Garamond" w:hAnsi="Garamond" w:cs="Arial"/>
          <w:color w:val="000000" w:themeColor="text1"/>
          <w:sz w:val="24"/>
          <w:szCs w:val="24"/>
          <w:lang w:val="es-ES_tradnl"/>
        </w:rPr>
        <w:t>7.- Por la comisión de la infracción prevista en el artículo 23.1.n) de esta Ley, y en base a la gravedad y circunstancias concurrentes, se impondrá la sanción de suspensión, privación o imposibilidad de obtención de licencia federativa por un periodo de entre dos años y la suspensión a perpetuidad</w:t>
      </w:r>
      <w:r w:rsidRPr="009759D3">
        <w:rPr>
          <w:rFonts w:ascii="Garamond" w:hAnsi="Garamond" w:cs="Arial"/>
          <w:color w:val="000000" w:themeColor="text1"/>
          <w:sz w:val="24"/>
          <w:szCs w:val="24"/>
        </w:rPr>
        <w:t>»</w:t>
      </w:r>
      <w:r w:rsidRPr="009759D3">
        <w:rPr>
          <w:rFonts w:ascii="Garamond" w:hAnsi="Garamond" w:cs="Arial"/>
          <w:color w:val="000000" w:themeColor="text1"/>
          <w:sz w:val="24"/>
          <w:szCs w:val="24"/>
          <w:lang w:val="es-ES_tradnl"/>
        </w:rPr>
        <w:t>.</w:t>
      </w:r>
    </w:p>
    <w:p w14:paraId="726E9AD8"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18374F07" w14:textId="77777777" w:rsidR="002C55F3" w:rsidRPr="009759D3" w:rsidRDefault="002C55F3" w:rsidP="002C55F3">
      <w:pPr>
        <w:autoSpaceDE w:val="0"/>
        <w:autoSpaceDN w:val="0"/>
        <w:adjustRightInd w:val="0"/>
        <w:jc w:val="both"/>
        <w:rPr>
          <w:rFonts w:ascii="Garamond" w:hAnsi="Garamond" w:cs="Arial"/>
          <w:b/>
          <w:bCs/>
          <w:color w:val="000000" w:themeColor="text1"/>
          <w:sz w:val="24"/>
          <w:szCs w:val="24"/>
          <w:lang w:val="es-ES_tradnl"/>
        </w:rPr>
      </w:pPr>
      <w:r w:rsidRPr="009759D3">
        <w:rPr>
          <w:rFonts w:ascii="Garamond" w:hAnsi="Garamond" w:cs="Arial"/>
          <w:b/>
          <w:bCs/>
          <w:color w:val="000000" w:themeColor="text1"/>
          <w:sz w:val="24"/>
          <w:szCs w:val="24"/>
          <w:lang w:val="es-ES_tradnl"/>
        </w:rPr>
        <w:t>Artículo Vigésimo Cuarto.</w:t>
      </w:r>
      <w:r w:rsidR="0066488C">
        <w:rPr>
          <w:rFonts w:ascii="Garamond" w:hAnsi="Garamond" w:cs="Arial"/>
          <w:b/>
          <w:bCs/>
          <w:color w:val="000000" w:themeColor="text1"/>
          <w:sz w:val="24"/>
          <w:szCs w:val="24"/>
          <w:lang w:val="es-ES_tradnl"/>
        </w:rPr>
        <w:t xml:space="preserve"> </w:t>
      </w:r>
      <w:r w:rsidRPr="009759D3">
        <w:rPr>
          <w:rFonts w:ascii="Garamond" w:hAnsi="Garamond" w:cs="Arial"/>
          <w:color w:val="000000" w:themeColor="text1"/>
          <w:sz w:val="24"/>
          <w:szCs w:val="24"/>
          <w:lang w:val="es-ES_tradnl"/>
        </w:rPr>
        <w:t>Se añaden los apartados 12, 13 y 14 en el artículo 28 de la Ley 12/2012, de 21 de junio, contra el Dopaje en el Deporte, que quedarán redactados en los siguientes términos:</w:t>
      </w:r>
    </w:p>
    <w:p w14:paraId="1CDF6B14" w14:textId="77777777" w:rsidR="002C55F3" w:rsidRPr="009759D3" w:rsidRDefault="002C55F3" w:rsidP="002C55F3">
      <w:pPr>
        <w:autoSpaceDE w:val="0"/>
        <w:autoSpaceDN w:val="0"/>
        <w:adjustRightInd w:val="0"/>
        <w:ind w:left="708"/>
        <w:jc w:val="both"/>
        <w:rPr>
          <w:rFonts w:ascii="Garamond" w:hAnsi="Garamond" w:cs="Arial"/>
          <w:color w:val="000000" w:themeColor="text1"/>
          <w:sz w:val="24"/>
          <w:szCs w:val="24"/>
          <w:lang w:val="es-ES_tradnl"/>
        </w:rPr>
      </w:pPr>
    </w:p>
    <w:p w14:paraId="421BA632" w14:textId="77777777" w:rsidR="002C55F3" w:rsidRPr="009759D3" w:rsidRDefault="002C55F3" w:rsidP="002C55F3">
      <w:pPr>
        <w:autoSpaceDE w:val="0"/>
        <w:autoSpaceDN w:val="0"/>
        <w:adjustRightInd w:val="0"/>
        <w:ind w:left="708"/>
        <w:jc w:val="both"/>
        <w:rPr>
          <w:rFonts w:ascii="Garamond" w:hAnsi="Garamond" w:cs="Arial"/>
          <w:color w:val="000000" w:themeColor="text1"/>
          <w:sz w:val="24"/>
          <w:szCs w:val="24"/>
          <w:lang w:val="es-ES_tradnl"/>
        </w:rPr>
      </w:pPr>
      <w:r w:rsidRPr="009759D3">
        <w:rPr>
          <w:rFonts w:ascii="Garamond" w:hAnsi="Garamond" w:cs="Arial"/>
          <w:color w:val="000000" w:themeColor="text1"/>
          <w:sz w:val="24"/>
          <w:szCs w:val="24"/>
        </w:rPr>
        <w:t>«</w:t>
      </w:r>
      <w:r w:rsidRPr="009759D3">
        <w:rPr>
          <w:rFonts w:ascii="Garamond" w:hAnsi="Garamond" w:cs="Arial"/>
          <w:color w:val="000000" w:themeColor="text1"/>
          <w:sz w:val="24"/>
          <w:szCs w:val="24"/>
          <w:lang w:val="es-ES_tradnl"/>
        </w:rPr>
        <w:t xml:space="preserve">12.- Cuando existan circunstancias agravantes que lo justificasen, la duración de la suspensión o inhabilitación podrá ser incrementado en un periodo adicional de hasta dos años, salvo que la persona afectada pudiese acreditar la falta de intencionalidad </w:t>
      </w:r>
      <w:r w:rsidRPr="009759D3">
        <w:rPr>
          <w:rFonts w:ascii="Garamond" w:hAnsi="Garamond" w:cs="Arial"/>
          <w:color w:val="000000" w:themeColor="text1"/>
          <w:sz w:val="24"/>
          <w:szCs w:val="24"/>
          <w:lang w:val="es-ES_tradnl"/>
        </w:rPr>
        <w:lastRenderedPageBreak/>
        <w:t xml:space="preserve">en la comisión de la infracción. Lo previsto en este apartado no será de aplicación en las infracciones previstas en los apartados h), i, k) y n) del artículo 21 de esta Ley. </w:t>
      </w:r>
    </w:p>
    <w:p w14:paraId="39C3B464" w14:textId="77777777" w:rsidR="002C55F3" w:rsidRPr="009759D3" w:rsidRDefault="002C55F3" w:rsidP="002C55F3">
      <w:pPr>
        <w:autoSpaceDE w:val="0"/>
        <w:autoSpaceDN w:val="0"/>
        <w:adjustRightInd w:val="0"/>
        <w:ind w:left="708"/>
        <w:jc w:val="both"/>
        <w:rPr>
          <w:rFonts w:ascii="Garamond" w:hAnsi="Garamond" w:cs="Arial"/>
          <w:color w:val="000000" w:themeColor="text1"/>
          <w:sz w:val="24"/>
          <w:szCs w:val="24"/>
          <w:lang w:val="es-ES_tradnl"/>
        </w:rPr>
      </w:pPr>
      <w:r w:rsidRPr="009759D3">
        <w:rPr>
          <w:rFonts w:ascii="Garamond" w:hAnsi="Garamond" w:cs="Arial"/>
          <w:color w:val="000000" w:themeColor="text1"/>
          <w:sz w:val="24"/>
          <w:szCs w:val="24"/>
          <w:lang w:val="es-ES_tradnl"/>
        </w:rPr>
        <w:t xml:space="preserve">13.- Cuando, en base a lo previsto en la Ley, proceda la imposición de sanciones de suspensión o inhabilitación cuya duración fuese igual o superior a cuatro años, el citado periodo podrá verse reducido en un año cuando la persona implicada admita la infracción y acepte el periodo de sanción propuesto, lo cual deberá ser realizado expresamente por su parte en el plazo máximo de veinte días tras de la notificación de la eventual infracción. En tales casos, no podrá aplicarse otra reducción o minoración del periodo de la sanción conforme a circunstancias previstas en la Ley. </w:t>
      </w:r>
    </w:p>
    <w:p w14:paraId="23EC2D35" w14:textId="77777777" w:rsidR="002C55F3" w:rsidRPr="009759D3" w:rsidRDefault="002C55F3" w:rsidP="002C55F3">
      <w:pPr>
        <w:autoSpaceDE w:val="0"/>
        <w:autoSpaceDN w:val="0"/>
        <w:adjustRightInd w:val="0"/>
        <w:ind w:left="708"/>
        <w:jc w:val="both"/>
        <w:rPr>
          <w:rFonts w:ascii="Garamond" w:hAnsi="Garamond" w:cs="Arial"/>
          <w:color w:val="000000" w:themeColor="text1"/>
          <w:sz w:val="24"/>
          <w:szCs w:val="24"/>
          <w:lang w:val="es-ES_tradnl"/>
        </w:rPr>
      </w:pPr>
      <w:r w:rsidRPr="009759D3">
        <w:rPr>
          <w:rFonts w:ascii="Garamond" w:hAnsi="Garamond" w:cs="Arial"/>
          <w:color w:val="000000" w:themeColor="text1"/>
          <w:sz w:val="24"/>
          <w:szCs w:val="24"/>
          <w:lang w:val="es-ES_tradnl"/>
        </w:rPr>
        <w:t xml:space="preserve">14.- Si una persona admitiese la comisión de la infracción y la sanción propuesta por la organización antidopaje podrá llegar a reducirse el periodo de suspensión o inhabilitación en base a los criterios previstos en la Ley. En tales casos se tomará en consideración la gravedad de la infracción, el grado de culpabilidad de la persona infractora, la prontitud en la admisión de la comisión de la infracción. Igualmente, en tales supuestos, el periodo de cumplimiento de la sanción podrá establecerse a partir de la fecha del control de dopaje del que resultase la infracción o, en otros casos, desde la fecha de comisión de la infracción. En todo caso, en los supuestos previstos en el presente apartado de este artículo la persona sancionada deberá llegar a cumplir </w:t>
      </w:r>
      <w:r w:rsidRPr="009759D3">
        <w:rPr>
          <w:rFonts w:ascii="Garamond" w:hAnsi="Garamond" w:cs="Arial"/>
          <w:color w:val="000000" w:themeColor="text1"/>
          <w:sz w:val="24"/>
          <w:szCs w:val="24"/>
        </w:rPr>
        <w:t>al menos la mitad del periodo d</w:t>
      </w:r>
      <w:proofErr w:type="spellStart"/>
      <w:r w:rsidRPr="009759D3">
        <w:rPr>
          <w:rFonts w:ascii="Garamond" w:hAnsi="Garamond" w:cs="Arial"/>
          <w:color w:val="000000" w:themeColor="text1"/>
          <w:sz w:val="24"/>
          <w:szCs w:val="24"/>
          <w:lang w:val="es-ES_tradnl"/>
        </w:rPr>
        <w:t>e</w:t>
      </w:r>
      <w:proofErr w:type="spellEnd"/>
      <w:r w:rsidRPr="009759D3">
        <w:rPr>
          <w:rFonts w:ascii="Garamond" w:hAnsi="Garamond" w:cs="Arial"/>
          <w:color w:val="000000" w:themeColor="text1"/>
          <w:sz w:val="24"/>
          <w:szCs w:val="24"/>
          <w:lang w:val="es-ES_tradnl"/>
        </w:rPr>
        <w:t xml:space="preserve"> sanción</w:t>
      </w:r>
      <w:r w:rsidRPr="009759D3">
        <w:rPr>
          <w:rFonts w:ascii="Garamond" w:hAnsi="Garamond" w:cs="Arial"/>
          <w:color w:val="000000" w:themeColor="text1"/>
          <w:sz w:val="24"/>
          <w:szCs w:val="24"/>
        </w:rPr>
        <w:t xml:space="preserve"> acordado a partir de la primera de las fechas en la que haya aceptado la </w:t>
      </w:r>
      <w:proofErr w:type="spellStart"/>
      <w:r w:rsidRPr="009759D3">
        <w:rPr>
          <w:rFonts w:ascii="Garamond" w:hAnsi="Garamond" w:cs="Arial"/>
          <w:color w:val="000000" w:themeColor="text1"/>
          <w:sz w:val="24"/>
          <w:szCs w:val="24"/>
        </w:rPr>
        <w:t>imposición</w:t>
      </w:r>
      <w:proofErr w:type="spellEnd"/>
      <w:r w:rsidRPr="009759D3">
        <w:rPr>
          <w:rFonts w:ascii="Garamond" w:hAnsi="Garamond" w:cs="Arial"/>
          <w:color w:val="000000" w:themeColor="text1"/>
          <w:sz w:val="24"/>
          <w:szCs w:val="24"/>
        </w:rPr>
        <w:t xml:space="preserve"> de una </w:t>
      </w:r>
      <w:proofErr w:type="spellStart"/>
      <w:r w:rsidRPr="009759D3">
        <w:rPr>
          <w:rFonts w:ascii="Garamond" w:hAnsi="Garamond" w:cs="Arial"/>
          <w:color w:val="000000" w:themeColor="text1"/>
          <w:sz w:val="24"/>
          <w:szCs w:val="24"/>
        </w:rPr>
        <w:t>sanción</w:t>
      </w:r>
      <w:proofErr w:type="spellEnd"/>
      <w:r w:rsidRPr="009759D3">
        <w:rPr>
          <w:rFonts w:ascii="Garamond" w:hAnsi="Garamond" w:cs="Arial"/>
          <w:color w:val="000000" w:themeColor="text1"/>
          <w:sz w:val="24"/>
          <w:szCs w:val="24"/>
        </w:rPr>
        <w:t xml:space="preserve"> o </w:t>
      </w:r>
      <w:r w:rsidRPr="009759D3">
        <w:rPr>
          <w:rFonts w:ascii="Garamond" w:hAnsi="Garamond" w:cs="Arial"/>
          <w:color w:val="000000" w:themeColor="text1"/>
          <w:sz w:val="24"/>
          <w:szCs w:val="24"/>
          <w:lang w:val="es-ES_tradnl"/>
        </w:rPr>
        <w:t xml:space="preserve">en la que </w:t>
      </w:r>
      <w:r w:rsidRPr="009759D3">
        <w:rPr>
          <w:rFonts w:ascii="Garamond" w:hAnsi="Garamond" w:cs="Arial"/>
          <w:color w:val="000000" w:themeColor="text1"/>
          <w:sz w:val="24"/>
          <w:szCs w:val="24"/>
        </w:rPr>
        <w:t xml:space="preserve">haya acatado la </w:t>
      </w:r>
      <w:r w:rsidRPr="009759D3">
        <w:rPr>
          <w:rFonts w:ascii="Garamond" w:hAnsi="Garamond" w:cs="Arial"/>
          <w:color w:val="000000" w:themeColor="text1"/>
          <w:sz w:val="24"/>
          <w:szCs w:val="24"/>
          <w:lang w:val="es-ES_tradnl"/>
        </w:rPr>
        <w:t>s</w:t>
      </w:r>
      <w:proofErr w:type="spellStart"/>
      <w:r w:rsidRPr="009759D3">
        <w:rPr>
          <w:rFonts w:ascii="Garamond" w:hAnsi="Garamond" w:cs="Arial"/>
          <w:color w:val="000000" w:themeColor="text1"/>
          <w:sz w:val="24"/>
          <w:szCs w:val="24"/>
        </w:rPr>
        <w:t>uspensión</w:t>
      </w:r>
      <w:proofErr w:type="spellEnd"/>
      <w:r w:rsidRPr="009759D3">
        <w:rPr>
          <w:rFonts w:ascii="Garamond" w:hAnsi="Garamond" w:cs="Arial"/>
          <w:color w:val="000000" w:themeColor="text1"/>
          <w:sz w:val="24"/>
          <w:szCs w:val="24"/>
        </w:rPr>
        <w:t xml:space="preserve"> </w:t>
      </w:r>
      <w:r w:rsidRPr="009759D3">
        <w:rPr>
          <w:rFonts w:ascii="Garamond" w:hAnsi="Garamond" w:cs="Arial"/>
          <w:color w:val="000000" w:themeColor="text1"/>
          <w:sz w:val="24"/>
          <w:szCs w:val="24"/>
          <w:lang w:val="es-ES_tradnl"/>
        </w:rPr>
        <w:t>p</w:t>
      </w:r>
      <w:proofErr w:type="spellStart"/>
      <w:r w:rsidRPr="009759D3">
        <w:rPr>
          <w:rFonts w:ascii="Garamond" w:hAnsi="Garamond" w:cs="Arial"/>
          <w:color w:val="000000" w:themeColor="text1"/>
          <w:sz w:val="24"/>
          <w:szCs w:val="24"/>
        </w:rPr>
        <w:t>rovisional</w:t>
      </w:r>
      <w:proofErr w:type="spellEnd"/>
      <w:r w:rsidRPr="009759D3">
        <w:rPr>
          <w:rFonts w:ascii="Garamond" w:hAnsi="Garamond" w:cs="Arial"/>
          <w:color w:val="000000" w:themeColor="text1"/>
          <w:sz w:val="24"/>
          <w:szCs w:val="24"/>
        </w:rPr>
        <w:t xml:space="preserve">. </w:t>
      </w:r>
      <w:r w:rsidRPr="009759D3">
        <w:rPr>
          <w:rFonts w:ascii="Garamond" w:hAnsi="Garamond" w:cs="Arial"/>
          <w:color w:val="000000" w:themeColor="text1"/>
          <w:sz w:val="24"/>
          <w:szCs w:val="24"/>
          <w:lang w:val="es-ES_tradnl"/>
        </w:rPr>
        <w:t>En tales supuestos de reducción previstos en este apartado no se podrá llegar a plantear recurso por la persona sancionada</w:t>
      </w:r>
      <w:r w:rsidRPr="009759D3">
        <w:rPr>
          <w:rFonts w:ascii="Garamond" w:hAnsi="Garamond" w:cs="Arial"/>
          <w:color w:val="000000" w:themeColor="text1"/>
          <w:sz w:val="24"/>
          <w:szCs w:val="24"/>
        </w:rPr>
        <w:t>»</w:t>
      </w:r>
      <w:r w:rsidRPr="009759D3">
        <w:rPr>
          <w:rFonts w:ascii="Garamond" w:hAnsi="Garamond" w:cs="Arial"/>
          <w:color w:val="000000" w:themeColor="text1"/>
          <w:sz w:val="24"/>
          <w:szCs w:val="24"/>
          <w:lang w:val="es-ES_tradnl"/>
        </w:rPr>
        <w:t xml:space="preserve">. </w:t>
      </w:r>
    </w:p>
    <w:p w14:paraId="368F0BAB"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28BF688D"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r w:rsidRPr="009759D3">
        <w:rPr>
          <w:rFonts w:ascii="Garamond" w:hAnsi="Garamond" w:cs="Arial"/>
          <w:b/>
          <w:bCs/>
          <w:color w:val="000000" w:themeColor="text1"/>
          <w:sz w:val="24"/>
          <w:szCs w:val="24"/>
          <w:lang w:val="es-ES_tradnl"/>
        </w:rPr>
        <w:t>Artículo Vigésimo Quinto.</w:t>
      </w:r>
      <w:r w:rsidRPr="009759D3">
        <w:rPr>
          <w:rFonts w:ascii="Garamond" w:hAnsi="Garamond" w:cs="Arial"/>
          <w:color w:val="000000" w:themeColor="text1"/>
          <w:sz w:val="24"/>
          <w:szCs w:val="24"/>
          <w:lang w:val="es-ES_tradnl"/>
        </w:rPr>
        <w:t xml:space="preserve"> Se añade el apartado 6 en el artículo 30 de la Ley 12/2012, de 21 de junio, contra el Dopaje en el Deporte, que quedará redactado en los siguientes términos:</w:t>
      </w:r>
    </w:p>
    <w:p w14:paraId="521AC35C"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67C58DF7" w14:textId="77777777" w:rsidR="002C55F3" w:rsidRPr="009759D3" w:rsidRDefault="002C55F3" w:rsidP="002C55F3">
      <w:pPr>
        <w:autoSpaceDE w:val="0"/>
        <w:autoSpaceDN w:val="0"/>
        <w:adjustRightInd w:val="0"/>
        <w:ind w:left="708"/>
        <w:jc w:val="both"/>
        <w:rPr>
          <w:rFonts w:ascii="Garamond" w:hAnsi="Garamond" w:cs="Arial"/>
          <w:color w:val="000000" w:themeColor="text1"/>
          <w:sz w:val="24"/>
          <w:szCs w:val="24"/>
          <w:lang w:val="es-ES_tradnl"/>
        </w:rPr>
      </w:pPr>
      <w:r w:rsidRPr="009759D3">
        <w:rPr>
          <w:rFonts w:ascii="Garamond" w:hAnsi="Garamond" w:cs="Arial"/>
          <w:color w:val="000000" w:themeColor="text1"/>
          <w:sz w:val="24"/>
          <w:szCs w:val="24"/>
        </w:rPr>
        <w:t>«</w:t>
      </w:r>
      <w:r w:rsidRPr="009759D3">
        <w:rPr>
          <w:rFonts w:ascii="Garamond" w:hAnsi="Garamond" w:cs="Arial"/>
          <w:color w:val="000000" w:themeColor="text1"/>
          <w:sz w:val="24"/>
          <w:szCs w:val="24"/>
          <w:lang w:val="es-ES_tradnl"/>
        </w:rPr>
        <w:t>6.- La organización antidopaje</w:t>
      </w:r>
      <w:r w:rsidRPr="009759D3">
        <w:rPr>
          <w:rFonts w:ascii="Garamond" w:hAnsi="Garamond" w:cs="Arial"/>
          <w:i/>
          <w:iCs/>
          <w:color w:val="000000" w:themeColor="text1"/>
          <w:sz w:val="24"/>
          <w:szCs w:val="24"/>
        </w:rPr>
        <w:t xml:space="preserve"> </w:t>
      </w:r>
      <w:r w:rsidRPr="009759D3">
        <w:rPr>
          <w:rFonts w:ascii="Garamond" w:hAnsi="Garamond" w:cs="Arial"/>
          <w:color w:val="000000" w:themeColor="text1"/>
          <w:sz w:val="24"/>
          <w:szCs w:val="24"/>
        </w:rPr>
        <w:t xml:space="preserve">que, por haberse cometido una </w:t>
      </w:r>
      <w:r w:rsidRPr="009759D3">
        <w:rPr>
          <w:rFonts w:ascii="Garamond" w:hAnsi="Garamond" w:cs="Arial"/>
          <w:color w:val="000000" w:themeColor="text1"/>
          <w:sz w:val="24"/>
          <w:szCs w:val="24"/>
          <w:lang w:val="es-ES_tradnl"/>
        </w:rPr>
        <w:t>infracción</w:t>
      </w:r>
      <w:r w:rsidRPr="009759D3">
        <w:rPr>
          <w:rFonts w:ascii="Garamond" w:hAnsi="Garamond" w:cs="Arial"/>
          <w:color w:val="000000" w:themeColor="text1"/>
          <w:sz w:val="24"/>
          <w:szCs w:val="24"/>
        </w:rPr>
        <w:t xml:space="preserve"> de las normas antidopaje, haya recuperado un premio de </w:t>
      </w:r>
      <w:r w:rsidRPr="009759D3">
        <w:rPr>
          <w:rFonts w:ascii="Garamond" w:hAnsi="Garamond" w:cs="Arial"/>
          <w:color w:val="000000" w:themeColor="text1"/>
          <w:sz w:val="24"/>
          <w:szCs w:val="24"/>
          <w:lang w:val="es-ES_tradnl"/>
        </w:rPr>
        <w:t>carácter</w:t>
      </w:r>
      <w:r w:rsidRPr="009759D3">
        <w:rPr>
          <w:rFonts w:ascii="Garamond" w:hAnsi="Garamond" w:cs="Arial"/>
          <w:color w:val="000000" w:themeColor="text1"/>
          <w:sz w:val="24"/>
          <w:szCs w:val="24"/>
        </w:rPr>
        <w:t xml:space="preserve"> </w:t>
      </w:r>
      <w:r w:rsidRPr="009759D3">
        <w:rPr>
          <w:rFonts w:ascii="Garamond" w:hAnsi="Garamond" w:cs="Arial"/>
          <w:color w:val="000000" w:themeColor="text1"/>
          <w:sz w:val="24"/>
          <w:szCs w:val="24"/>
          <w:lang w:val="es-ES_tradnl"/>
        </w:rPr>
        <w:t>económico</w:t>
      </w:r>
      <w:r w:rsidRPr="009759D3">
        <w:rPr>
          <w:rFonts w:ascii="Garamond" w:hAnsi="Garamond" w:cs="Arial"/>
          <w:color w:val="000000" w:themeColor="text1"/>
          <w:sz w:val="24"/>
          <w:szCs w:val="24"/>
        </w:rPr>
        <w:t xml:space="preserve"> </w:t>
      </w:r>
      <w:r w:rsidRPr="009759D3">
        <w:rPr>
          <w:rFonts w:ascii="Garamond" w:hAnsi="Garamond" w:cs="Arial"/>
          <w:color w:val="000000" w:themeColor="text1"/>
          <w:sz w:val="24"/>
          <w:szCs w:val="24"/>
          <w:lang w:val="es-ES_tradnl"/>
        </w:rPr>
        <w:t>adoptará las</w:t>
      </w:r>
      <w:r w:rsidRPr="009759D3">
        <w:rPr>
          <w:rFonts w:ascii="Garamond" w:hAnsi="Garamond" w:cs="Arial"/>
          <w:color w:val="000000" w:themeColor="text1"/>
          <w:sz w:val="24"/>
          <w:szCs w:val="24"/>
        </w:rPr>
        <w:t xml:space="preserve"> medidas </w:t>
      </w:r>
      <w:r w:rsidRPr="009759D3">
        <w:rPr>
          <w:rFonts w:ascii="Garamond" w:hAnsi="Garamond" w:cs="Arial"/>
          <w:color w:val="000000" w:themeColor="text1"/>
          <w:sz w:val="24"/>
          <w:szCs w:val="24"/>
          <w:lang w:val="es-ES_tradnl"/>
        </w:rPr>
        <w:t>precisas</w:t>
      </w:r>
      <w:r w:rsidRPr="009759D3">
        <w:rPr>
          <w:rFonts w:ascii="Garamond" w:hAnsi="Garamond" w:cs="Arial"/>
          <w:color w:val="000000" w:themeColor="text1"/>
          <w:sz w:val="24"/>
          <w:szCs w:val="24"/>
        </w:rPr>
        <w:t xml:space="preserve"> para asignar y distribuir </w:t>
      </w:r>
      <w:r w:rsidRPr="009759D3">
        <w:rPr>
          <w:rFonts w:ascii="Garamond" w:hAnsi="Garamond" w:cs="Arial"/>
          <w:color w:val="000000" w:themeColor="text1"/>
          <w:sz w:val="24"/>
          <w:szCs w:val="24"/>
          <w:lang w:val="es-ES_tradnl"/>
        </w:rPr>
        <w:t>el mismo</w:t>
      </w:r>
      <w:r w:rsidRPr="009759D3">
        <w:rPr>
          <w:rFonts w:ascii="Garamond" w:hAnsi="Garamond" w:cs="Arial"/>
          <w:color w:val="000000" w:themeColor="text1"/>
          <w:sz w:val="24"/>
          <w:szCs w:val="24"/>
        </w:rPr>
        <w:t xml:space="preserve"> entre </w:t>
      </w:r>
      <w:r w:rsidRPr="009759D3">
        <w:rPr>
          <w:rFonts w:ascii="Garamond" w:hAnsi="Garamond" w:cs="Arial"/>
          <w:color w:val="000000" w:themeColor="text1"/>
          <w:sz w:val="24"/>
          <w:szCs w:val="24"/>
          <w:lang w:val="es-ES_tradnl"/>
        </w:rPr>
        <w:t>las personas o entidades</w:t>
      </w:r>
      <w:r w:rsidRPr="009759D3">
        <w:rPr>
          <w:rFonts w:ascii="Garamond" w:hAnsi="Garamond" w:cs="Arial"/>
          <w:color w:val="000000" w:themeColor="text1"/>
          <w:sz w:val="24"/>
          <w:szCs w:val="24"/>
        </w:rPr>
        <w:t xml:space="preserve"> que </w:t>
      </w:r>
      <w:r w:rsidRPr="009759D3">
        <w:rPr>
          <w:rFonts w:ascii="Garamond" w:hAnsi="Garamond" w:cs="Arial"/>
          <w:color w:val="000000" w:themeColor="text1"/>
          <w:sz w:val="24"/>
          <w:szCs w:val="24"/>
          <w:lang w:val="es-ES_tradnl"/>
        </w:rPr>
        <w:t>hubiesen</w:t>
      </w:r>
      <w:r w:rsidRPr="009759D3">
        <w:rPr>
          <w:rFonts w:ascii="Garamond" w:hAnsi="Garamond" w:cs="Arial"/>
          <w:color w:val="000000" w:themeColor="text1"/>
          <w:sz w:val="24"/>
          <w:szCs w:val="24"/>
        </w:rPr>
        <w:t xml:space="preserve"> tenido derecho </w:t>
      </w:r>
      <w:r w:rsidRPr="009759D3">
        <w:rPr>
          <w:rFonts w:ascii="Garamond" w:hAnsi="Garamond" w:cs="Arial"/>
          <w:color w:val="000000" w:themeColor="text1"/>
          <w:sz w:val="24"/>
          <w:szCs w:val="24"/>
          <w:lang w:val="es-ES_tradnl"/>
        </w:rPr>
        <w:t>al mismo tras de la alteración del resultado de las competiciones</w:t>
      </w:r>
      <w:r w:rsidRPr="009759D3">
        <w:rPr>
          <w:rFonts w:ascii="Garamond" w:hAnsi="Garamond" w:cs="Arial"/>
          <w:color w:val="000000" w:themeColor="text1"/>
          <w:sz w:val="24"/>
          <w:szCs w:val="24"/>
        </w:rPr>
        <w:t xml:space="preserve">». </w:t>
      </w:r>
    </w:p>
    <w:p w14:paraId="20E42C00"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6C78CBB9" w14:textId="77777777" w:rsidR="002C55F3" w:rsidRPr="009759D3" w:rsidRDefault="002C55F3" w:rsidP="002C55F3">
      <w:pPr>
        <w:autoSpaceDE w:val="0"/>
        <w:autoSpaceDN w:val="0"/>
        <w:adjustRightInd w:val="0"/>
        <w:jc w:val="both"/>
        <w:rPr>
          <w:rFonts w:ascii="Garamond" w:hAnsi="Garamond" w:cs="Arial"/>
          <w:b/>
          <w:bCs/>
          <w:color w:val="000000" w:themeColor="text1"/>
          <w:sz w:val="24"/>
          <w:szCs w:val="24"/>
          <w:lang w:val="es-ES_tradnl"/>
        </w:rPr>
      </w:pPr>
      <w:r w:rsidRPr="009759D3">
        <w:rPr>
          <w:rFonts w:ascii="Garamond" w:hAnsi="Garamond" w:cs="Arial"/>
          <w:b/>
          <w:bCs/>
          <w:color w:val="000000" w:themeColor="text1"/>
          <w:sz w:val="24"/>
          <w:szCs w:val="24"/>
          <w:lang w:val="es-ES_tradnl"/>
        </w:rPr>
        <w:t>Artículo Vigésimo Sexto.</w:t>
      </w:r>
      <w:r w:rsidR="002D7DDF">
        <w:rPr>
          <w:rFonts w:ascii="Garamond" w:hAnsi="Garamond" w:cs="Arial"/>
          <w:b/>
          <w:bCs/>
          <w:color w:val="000000" w:themeColor="text1"/>
          <w:sz w:val="24"/>
          <w:szCs w:val="24"/>
          <w:lang w:val="es-ES_tradnl"/>
        </w:rPr>
        <w:t xml:space="preserve"> </w:t>
      </w:r>
      <w:r w:rsidRPr="009759D3">
        <w:rPr>
          <w:rFonts w:ascii="Garamond" w:hAnsi="Garamond" w:cs="Arial"/>
          <w:color w:val="000000" w:themeColor="text1"/>
          <w:sz w:val="24"/>
          <w:szCs w:val="24"/>
          <w:lang w:val="es-ES_tradnl"/>
        </w:rPr>
        <w:t>Se añaden los apartados 5 y 6 en el artículo 31 bis de la Ley 12/2012, de 21 de junio, contra el Dopaje en el Deporte, que quedarán redactados en los siguientes términos:</w:t>
      </w:r>
    </w:p>
    <w:p w14:paraId="712C5C3C"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4DDB5684" w14:textId="77777777" w:rsidR="002C55F3" w:rsidRPr="009759D3" w:rsidRDefault="002C55F3" w:rsidP="002C55F3">
      <w:pPr>
        <w:autoSpaceDE w:val="0"/>
        <w:autoSpaceDN w:val="0"/>
        <w:adjustRightInd w:val="0"/>
        <w:ind w:left="708"/>
        <w:jc w:val="both"/>
        <w:rPr>
          <w:rFonts w:ascii="Garamond" w:hAnsi="Garamond" w:cs="Arial"/>
          <w:color w:val="000000" w:themeColor="text1"/>
          <w:sz w:val="24"/>
          <w:szCs w:val="24"/>
          <w:lang w:val="es-ES_tradnl"/>
        </w:rPr>
      </w:pPr>
      <w:r w:rsidRPr="009759D3">
        <w:rPr>
          <w:rFonts w:ascii="Garamond" w:hAnsi="Garamond" w:cs="Arial"/>
          <w:color w:val="000000" w:themeColor="text1"/>
          <w:sz w:val="24"/>
          <w:szCs w:val="24"/>
        </w:rPr>
        <w:t>«</w:t>
      </w:r>
      <w:r w:rsidRPr="009759D3">
        <w:rPr>
          <w:rFonts w:ascii="Garamond" w:hAnsi="Garamond" w:cs="Arial"/>
          <w:color w:val="000000" w:themeColor="text1"/>
          <w:sz w:val="24"/>
          <w:szCs w:val="24"/>
          <w:lang w:val="es-ES_tradnl"/>
        </w:rPr>
        <w:t xml:space="preserve">5.- Durante el periodo de cumplimiento de la sanción, si se tratase de un o una deportista, la persona sancionada podrá ser sometida a controles de dopaje fuera de competición y podrá serle exigido el cumplimiento de ciertas obligaciones orientadas a la realización de tales controles, como la aportación de datos para su localización. </w:t>
      </w:r>
    </w:p>
    <w:p w14:paraId="7292F55E" w14:textId="77777777" w:rsidR="002C55F3" w:rsidRPr="009759D3" w:rsidRDefault="002C55F3" w:rsidP="002C55F3">
      <w:pPr>
        <w:autoSpaceDE w:val="0"/>
        <w:autoSpaceDN w:val="0"/>
        <w:adjustRightInd w:val="0"/>
        <w:ind w:left="708"/>
        <w:jc w:val="both"/>
        <w:rPr>
          <w:rFonts w:ascii="Garamond" w:hAnsi="Garamond" w:cs="Arial"/>
          <w:color w:val="000000" w:themeColor="text1"/>
          <w:sz w:val="24"/>
          <w:szCs w:val="24"/>
        </w:rPr>
      </w:pPr>
      <w:r w:rsidRPr="009759D3">
        <w:rPr>
          <w:rFonts w:ascii="Garamond" w:hAnsi="Garamond" w:cs="Arial"/>
          <w:color w:val="000000" w:themeColor="text1"/>
          <w:sz w:val="24"/>
          <w:szCs w:val="24"/>
          <w:lang w:val="es-ES_tradnl"/>
        </w:rPr>
        <w:lastRenderedPageBreak/>
        <w:t xml:space="preserve">6.- En caso de incumplimiento por la persona sancionada del deber de no participar durante el periodo de suspensión o inhabilitación que le hubiese sido impuesto, los resultados logrados por su parte </w:t>
      </w:r>
      <w:proofErr w:type="spellStart"/>
      <w:r w:rsidRPr="009759D3">
        <w:rPr>
          <w:rFonts w:ascii="Garamond" w:hAnsi="Garamond" w:cs="Arial"/>
          <w:color w:val="000000" w:themeColor="text1"/>
          <w:sz w:val="24"/>
          <w:szCs w:val="24"/>
        </w:rPr>
        <w:t>serán</w:t>
      </w:r>
      <w:proofErr w:type="spellEnd"/>
      <w:r w:rsidRPr="009759D3">
        <w:rPr>
          <w:rFonts w:ascii="Garamond" w:hAnsi="Garamond" w:cs="Arial"/>
          <w:color w:val="000000" w:themeColor="text1"/>
          <w:sz w:val="24"/>
          <w:szCs w:val="24"/>
        </w:rPr>
        <w:t xml:space="preserve"> anulados</w:t>
      </w:r>
      <w:r w:rsidRPr="009759D3">
        <w:rPr>
          <w:rFonts w:ascii="Garamond" w:hAnsi="Garamond" w:cs="Arial"/>
          <w:color w:val="000000" w:themeColor="text1"/>
          <w:sz w:val="24"/>
          <w:szCs w:val="24"/>
          <w:lang w:val="es-ES_tradnl"/>
        </w:rPr>
        <w:t>. En tales casos,</w:t>
      </w:r>
      <w:r w:rsidRPr="009759D3">
        <w:rPr>
          <w:rFonts w:ascii="Garamond" w:hAnsi="Garamond" w:cs="Arial"/>
          <w:color w:val="000000" w:themeColor="text1"/>
          <w:sz w:val="24"/>
          <w:szCs w:val="24"/>
        </w:rPr>
        <w:t xml:space="preserve"> se añadirá́ al final del periodo de </w:t>
      </w:r>
      <w:proofErr w:type="spellStart"/>
      <w:r w:rsidRPr="009759D3">
        <w:rPr>
          <w:rFonts w:ascii="Garamond" w:hAnsi="Garamond" w:cs="Arial"/>
          <w:color w:val="000000" w:themeColor="text1"/>
          <w:sz w:val="24"/>
          <w:szCs w:val="24"/>
          <w:lang w:val="es-ES_tradnl"/>
        </w:rPr>
        <w:t>sanció</w:t>
      </w:r>
      <w:proofErr w:type="spellEnd"/>
      <w:r w:rsidRPr="009759D3">
        <w:rPr>
          <w:rFonts w:ascii="Garamond" w:hAnsi="Garamond" w:cs="Arial"/>
          <w:color w:val="000000" w:themeColor="text1"/>
          <w:sz w:val="24"/>
          <w:szCs w:val="24"/>
        </w:rPr>
        <w:t xml:space="preserve">n original un nuevo periodo de </w:t>
      </w:r>
      <w:r w:rsidRPr="009759D3">
        <w:rPr>
          <w:rFonts w:ascii="Garamond" w:hAnsi="Garamond" w:cs="Arial"/>
          <w:color w:val="000000" w:themeColor="text1"/>
          <w:sz w:val="24"/>
          <w:szCs w:val="24"/>
          <w:lang w:val="es-ES_tradnl"/>
        </w:rPr>
        <w:t>suspensión o i</w:t>
      </w:r>
      <w:proofErr w:type="spellStart"/>
      <w:r w:rsidRPr="009759D3">
        <w:rPr>
          <w:rFonts w:ascii="Garamond" w:hAnsi="Garamond" w:cs="Arial"/>
          <w:color w:val="000000" w:themeColor="text1"/>
          <w:sz w:val="24"/>
          <w:szCs w:val="24"/>
        </w:rPr>
        <w:t>nhabilitación</w:t>
      </w:r>
      <w:proofErr w:type="spellEnd"/>
      <w:r w:rsidRPr="009759D3">
        <w:rPr>
          <w:rFonts w:ascii="Garamond" w:hAnsi="Garamond" w:cs="Arial"/>
          <w:color w:val="000000" w:themeColor="text1"/>
          <w:sz w:val="24"/>
          <w:szCs w:val="24"/>
        </w:rPr>
        <w:t xml:space="preserve"> con una </w:t>
      </w:r>
      <w:proofErr w:type="spellStart"/>
      <w:r w:rsidRPr="009759D3">
        <w:rPr>
          <w:rFonts w:ascii="Garamond" w:hAnsi="Garamond" w:cs="Arial"/>
          <w:color w:val="000000" w:themeColor="text1"/>
          <w:sz w:val="24"/>
          <w:szCs w:val="24"/>
        </w:rPr>
        <w:t>duración</w:t>
      </w:r>
      <w:proofErr w:type="spellEnd"/>
      <w:r w:rsidRPr="009759D3">
        <w:rPr>
          <w:rFonts w:ascii="Garamond" w:hAnsi="Garamond" w:cs="Arial"/>
          <w:color w:val="000000" w:themeColor="text1"/>
          <w:sz w:val="24"/>
          <w:szCs w:val="24"/>
        </w:rPr>
        <w:t xml:space="preserve"> igual a la </w:t>
      </w:r>
      <w:r w:rsidRPr="009759D3">
        <w:rPr>
          <w:rFonts w:ascii="Garamond" w:hAnsi="Garamond" w:cs="Arial"/>
          <w:color w:val="000000" w:themeColor="text1"/>
          <w:sz w:val="24"/>
          <w:szCs w:val="24"/>
          <w:lang w:val="es-ES_tradnl"/>
        </w:rPr>
        <w:t>original o inicialmente impuesta</w:t>
      </w:r>
      <w:r w:rsidRPr="009759D3">
        <w:rPr>
          <w:rFonts w:ascii="Garamond" w:hAnsi="Garamond" w:cs="Arial"/>
          <w:color w:val="000000" w:themeColor="text1"/>
          <w:sz w:val="24"/>
          <w:szCs w:val="24"/>
        </w:rPr>
        <w:t>».</w:t>
      </w:r>
    </w:p>
    <w:p w14:paraId="0ADC1B2D"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390B42EC"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r w:rsidRPr="009759D3">
        <w:rPr>
          <w:rFonts w:ascii="Garamond" w:hAnsi="Garamond" w:cs="Arial"/>
          <w:b/>
          <w:bCs/>
          <w:color w:val="000000" w:themeColor="text1"/>
          <w:sz w:val="24"/>
          <w:szCs w:val="24"/>
          <w:lang w:val="es-ES_tradnl"/>
        </w:rPr>
        <w:t>Artículo Vigésimo Séptimo.</w:t>
      </w:r>
      <w:r w:rsidR="001A46DE">
        <w:rPr>
          <w:rFonts w:ascii="Garamond" w:hAnsi="Garamond" w:cs="Arial"/>
          <w:b/>
          <w:bCs/>
          <w:color w:val="000000" w:themeColor="text1"/>
          <w:sz w:val="24"/>
          <w:szCs w:val="24"/>
          <w:lang w:val="es-ES_tradnl"/>
        </w:rPr>
        <w:t xml:space="preserve"> </w:t>
      </w:r>
      <w:r w:rsidRPr="009759D3">
        <w:rPr>
          <w:rFonts w:ascii="Garamond" w:hAnsi="Garamond" w:cs="Arial"/>
          <w:color w:val="000000" w:themeColor="text1"/>
          <w:sz w:val="24"/>
          <w:szCs w:val="24"/>
          <w:lang w:val="es-ES_tradnl"/>
        </w:rPr>
        <w:t>Se añade un párrafo en el apartado 3 en el artículo 38 de la Ley 12/2012, de 21 de junio, contra el Dopaje en el Deporte, que quedará redactado en los siguientes términos:</w:t>
      </w:r>
    </w:p>
    <w:p w14:paraId="00132CB5"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7AA6CE7A" w14:textId="77777777" w:rsidR="002C55F3" w:rsidRPr="009759D3" w:rsidRDefault="002C55F3" w:rsidP="002C55F3">
      <w:pPr>
        <w:autoSpaceDE w:val="0"/>
        <w:autoSpaceDN w:val="0"/>
        <w:adjustRightInd w:val="0"/>
        <w:ind w:left="708"/>
        <w:jc w:val="both"/>
        <w:rPr>
          <w:rFonts w:ascii="Garamond" w:hAnsi="Garamond" w:cs="Arial"/>
          <w:color w:val="000000" w:themeColor="text1"/>
          <w:sz w:val="24"/>
          <w:szCs w:val="24"/>
          <w:lang w:val="es-ES_tradnl"/>
        </w:rPr>
      </w:pPr>
      <w:r w:rsidRPr="009759D3">
        <w:rPr>
          <w:rFonts w:ascii="Garamond" w:hAnsi="Garamond" w:cs="Arial"/>
          <w:color w:val="000000" w:themeColor="text1"/>
          <w:sz w:val="24"/>
          <w:szCs w:val="24"/>
        </w:rPr>
        <w:t>«</w:t>
      </w:r>
      <w:r w:rsidRPr="009759D3">
        <w:rPr>
          <w:rFonts w:ascii="Garamond" w:hAnsi="Garamond" w:cs="Arial"/>
          <w:color w:val="000000" w:themeColor="text1"/>
          <w:sz w:val="24"/>
          <w:szCs w:val="24"/>
          <w:lang w:val="es-ES_tradnl"/>
        </w:rPr>
        <w:t>En todo lo relacionado con la conservación y utilización de las muestras obtenidas con ocasión de controles de dopaje resultará de aplicación lo expresamente previsto en los Estándares Internacionales establecidos en cada momento y publicados por la Agencia Mundial Antidopaje</w:t>
      </w:r>
      <w:r w:rsidRPr="009759D3">
        <w:rPr>
          <w:rFonts w:ascii="Garamond" w:hAnsi="Garamond" w:cs="Arial"/>
          <w:color w:val="000000" w:themeColor="text1"/>
          <w:sz w:val="24"/>
          <w:szCs w:val="24"/>
        </w:rPr>
        <w:t>»</w:t>
      </w:r>
      <w:r w:rsidRPr="009759D3">
        <w:rPr>
          <w:rFonts w:ascii="Garamond" w:hAnsi="Garamond" w:cs="Arial"/>
          <w:color w:val="000000" w:themeColor="text1"/>
          <w:sz w:val="24"/>
          <w:szCs w:val="24"/>
          <w:lang w:val="es-ES_tradnl"/>
        </w:rPr>
        <w:t>.</w:t>
      </w:r>
    </w:p>
    <w:p w14:paraId="6C4C1D66"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3F10BC14" w14:textId="77777777" w:rsidR="002C55F3" w:rsidRPr="009759D3" w:rsidRDefault="002C55F3" w:rsidP="002C55F3">
      <w:pPr>
        <w:autoSpaceDE w:val="0"/>
        <w:autoSpaceDN w:val="0"/>
        <w:adjustRightInd w:val="0"/>
        <w:jc w:val="both"/>
        <w:rPr>
          <w:rFonts w:ascii="Garamond" w:hAnsi="Garamond" w:cs="Arial"/>
          <w:b/>
          <w:bCs/>
          <w:color w:val="000000" w:themeColor="text1"/>
          <w:sz w:val="24"/>
          <w:szCs w:val="24"/>
          <w:lang w:val="es-ES_tradnl"/>
        </w:rPr>
      </w:pPr>
      <w:r w:rsidRPr="009759D3">
        <w:rPr>
          <w:rFonts w:ascii="Garamond" w:hAnsi="Garamond" w:cs="Arial"/>
          <w:b/>
          <w:bCs/>
          <w:color w:val="000000" w:themeColor="text1"/>
          <w:sz w:val="24"/>
          <w:szCs w:val="24"/>
          <w:lang w:val="es-ES_tradnl"/>
        </w:rPr>
        <w:t>Artículo Vigésimo Octavo.</w:t>
      </w:r>
      <w:r w:rsidR="00542AE0">
        <w:rPr>
          <w:rFonts w:ascii="Garamond" w:hAnsi="Garamond" w:cs="Arial"/>
          <w:b/>
          <w:bCs/>
          <w:color w:val="000000" w:themeColor="text1"/>
          <w:sz w:val="24"/>
          <w:szCs w:val="24"/>
          <w:lang w:val="es-ES_tradnl"/>
        </w:rPr>
        <w:t xml:space="preserve"> </w:t>
      </w:r>
      <w:r w:rsidRPr="009759D3">
        <w:rPr>
          <w:rFonts w:ascii="Garamond" w:hAnsi="Garamond" w:cs="Arial"/>
          <w:color w:val="000000" w:themeColor="text1"/>
          <w:sz w:val="24"/>
          <w:szCs w:val="24"/>
          <w:lang w:val="es-ES_tradnl"/>
        </w:rPr>
        <w:t>Se añade un apartado 10 en el artículo 42 de la Ley 12/2012, de 21 de junio, contra el Dopaje en el Deporte, que quedará redactado en los siguientes términos:</w:t>
      </w:r>
    </w:p>
    <w:p w14:paraId="000C2602"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6D1ACCED" w14:textId="77777777" w:rsidR="002C55F3" w:rsidRPr="009759D3" w:rsidRDefault="002C55F3" w:rsidP="002C55F3">
      <w:pPr>
        <w:autoSpaceDE w:val="0"/>
        <w:autoSpaceDN w:val="0"/>
        <w:adjustRightInd w:val="0"/>
        <w:ind w:left="708"/>
        <w:jc w:val="both"/>
        <w:rPr>
          <w:rFonts w:ascii="Garamond" w:hAnsi="Garamond" w:cs="Arial"/>
          <w:color w:val="000000" w:themeColor="text1"/>
          <w:sz w:val="24"/>
          <w:szCs w:val="24"/>
          <w:lang w:val="es-ES_tradnl"/>
        </w:rPr>
      </w:pPr>
      <w:r w:rsidRPr="009759D3">
        <w:rPr>
          <w:rFonts w:ascii="Garamond" w:hAnsi="Garamond" w:cs="Arial"/>
          <w:color w:val="000000" w:themeColor="text1"/>
          <w:sz w:val="24"/>
          <w:szCs w:val="24"/>
        </w:rPr>
        <w:t>«</w:t>
      </w:r>
      <w:r w:rsidRPr="009759D3">
        <w:rPr>
          <w:rFonts w:ascii="Garamond" w:hAnsi="Garamond" w:cs="Arial"/>
          <w:color w:val="000000" w:themeColor="text1"/>
          <w:sz w:val="24"/>
          <w:szCs w:val="24"/>
          <w:lang w:val="es-ES_tradnl"/>
        </w:rPr>
        <w:t>10.- Podrán ser cedidos o comunicados a la Agencia Mundial Antidopaje, a instancia o petición justificada de dicha entidad, los datos e informaciones relacionados con controles de dopaje o con eventuales infracciones de las normas de dopaje en los términos previstos en el Código Mundial Antidopaje</w:t>
      </w:r>
      <w:r w:rsidRPr="009759D3">
        <w:rPr>
          <w:rFonts w:ascii="Garamond" w:hAnsi="Garamond" w:cs="Arial"/>
          <w:color w:val="000000" w:themeColor="text1"/>
          <w:sz w:val="24"/>
          <w:szCs w:val="24"/>
        </w:rPr>
        <w:t>»</w:t>
      </w:r>
      <w:r w:rsidRPr="009759D3">
        <w:rPr>
          <w:rFonts w:ascii="Garamond" w:hAnsi="Garamond" w:cs="Arial"/>
          <w:color w:val="000000" w:themeColor="text1"/>
          <w:sz w:val="24"/>
          <w:szCs w:val="24"/>
          <w:lang w:val="es-ES_tradnl"/>
        </w:rPr>
        <w:t>.</w:t>
      </w:r>
    </w:p>
    <w:p w14:paraId="383494C3" w14:textId="77777777" w:rsidR="002C55F3" w:rsidRDefault="002C55F3" w:rsidP="002C55F3">
      <w:pPr>
        <w:autoSpaceDE w:val="0"/>
        <w:autoSpaceDN w:val="0"/>
        <w:adjustRightInd w:val="0"/>
        <w:jc w:val="both"/>
        <w:rPr>
          <w:rFonts w:ascii="Garamond" w:hAnsi="Garamond" w:cs="Arial"/>
          <w:color w:val="000000" w:themeColor="text1"/>
          <w:sz w:val="24"/>
          <w:szCs w:val="24"/>
          <w:lang w:val="es-ES_tradnl"/>
        </w:rPr>
      </w:pPr>
    </w:p>
    <w:p w14:paraId="543BDD46" w14:textId="77777777" w:rsidR="007D62E2" w:rsidRPr="009759D3" w:rsidRDefault="007D62E2" w:rsidP="002C55F3">
      <w:pPr>
        <w:autoSpaceDE w:val="0"/>
        <w:autoSpaceDN w:val="0"/>
        <w:adjustRightInd w:val="0"/>
        <w:jc w:val="both"/>
        <w:rPr>
          <w:rFonts w:ascii="Garamond" w:hAnsi="Garamond" w:cs="Arial"/>
          <w:color w:val="000000" w:themeColor="text1"/>
          <w:sz w:val="24"/>
          <w:szCs w:val="24"/>
          <w:lang w:val="es-ES_tradnl"/>
        </w:rPr>
      </w:pPr>
    </w:p>
    <w:p w14:paraId="17A49781" w14:textId="77777777" w:rsidR="002C55F3" w:rsidRPr="009759D3" w:rsidRDefault="002C55F3" w:rsidP="002C55F3">
      <w:pPr>
        <w:autoSpaceDE w:val="0"/>
        <w:autoSpaceDN w:val="0"/>
        <w:adjustRightInd w:val="0"/>
        <w:jc w:val="both"/>
        <w:rPr>
          <w:rFonts w:ascii="Garamond" w:hAnsi="Garamond" w:cs="Arial"/>
          <w:b/>
          <w:bCs/>
          <w:color w:val="000000" w:themeColor="text1"/>
          <w:sz w:val="24"/>
          <w:szCs w:val="24"/>
          <w:lang w:val="es-ES_tradnl"/>
        </w:rPr>
      </w:pPr>
      <w:r w:rsidRPr="009759D3">
        <w:rPr>
          <w:rFonts w:ascii="Garamond" w:hAnsi="Garamond" w:cs="Arial"/>
          <w:b/>
          <w:bCs/>
          <w:color w:val="000000" w:themeColor="text1"/>
          <w:sz w:val="24"/>
          <w:szCs w:val="24"/>
          <w:lang w:val="es-ES_tradnl"/>
        </w:rPr>
        <w:t>DISPOSICIONES TRANSITORIAS </w:t>
      </w:r>
    </w:p>
    <w:p w14:paraId="2054F7DF"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76B5EED7" w14:textId="77777777" w:rsidR="002C55F3" w:rsidRPr="009759D3" w:rsidRDefault="002C55F3" w:rsidP="002C55F3">
      <w:pPr>
        <w:autoSpaceDE w:val="0"/>
        <w:autoSpaceDN w:val="0"/>
        <w:adjustRightInd w:val="0"/>
        <w:jc w:val="both"/>
        <w:rPr>
          <w:rFonts w:ascii="Garamond" w:hAnsi="Garamond" w:cs="Arial"/>
          <w:b/>
          <w:bCs/>
          <w:color w:val="000000" w:themeColor="text1"/>
          <w:sz w:val="24"/>
          <w:szCs w:val="24"/>
          <w:lang w:val="es-ES_tradnl"/>
        </w:rPr>
      </w:pPr>
      <w:r w:rsidRPr="009759D3">
        <w:rPr>
          <w:rFonts w:ascii="Garamond" w:hAnsi="Garamond" w:cs="Arial"/>
          <w:b/>
          <w:bCs/>
          <w:color w:val="000000" w:themeColor="text1"/>
          <w:sz w:val="24"/>
          <w:szCs w:val="24"/>
          <w:lang w:val="es-ES_tradnl"/>
        </w:rPr>
        <w:t>Disposición Transitoria Primera </w:t>
      </w:r>
    </w:p>
    <w:p w14:paraId="3C989D3A"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45D47BEF"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r w:rsidRPr="009759D3">
        <w:rPr>
          <w:rFonts w:ascii="Garamond" w:hAnsi="Garamond" w:cs="Arial"/>
          <w:color w:val="000000" w:themeColor="text1"/>
          <w:sz w:val="24"/>
          <w:szCs w:val="24"/>
          <w:lang w:val="es-ES_tradnl"/>
        </w:rPr>
        <w:t>Las infracciones en materia de dopaje que se hayan cometido antes de la entrada en vigor de esta ley se regirán por lo dispuesto en la normativa anterior, salvo que la regulación prevista en la nueva norma sea más favorable para las personas expedientadas.</w:t>
      </w:r>
    </w:p>
    <w:p w14:paraId="03A34CB4"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2AC256CE" w14:textId="77777777" w:rsidR="002C55F3" w:rsidRPr="009759D3" w:rsidRDefault="002C55F3" w:rsidP="002C55F3">
      <w:pPr>
        <w:autoSpaceDE w:val="0"/>
        <w:autoSpaceDN w:val="0"/>
        <w:adjustRightInd w:val="0"/>
        <w:jc w:val="both"/>
        <w:rPr>
          <w:rFonts w:ascii="Garamond" w:hAnsi="Garamond" w:cs="Arial"/>
          <w:b/>
          <w:bCs/>
          <w:color w:val="000000" w:themeColor="text1"/>
          <w:sz w:val="24"/>
          <w:szCs w:val="24"/>
          <w:lang w:val="es-ES_tradnl"/>
        </w:rPr>
      </w:pPr>
      <w:r w:rsidRPr="009759D3">
        <w:rPr>
          <w:rFonts w:ascii="Garamond" w:hAnsi="Garamond" w:cs="Arial"/>
          <w:b/>
          <w:bCs/>
          <w:color w:val="000000" w:themeColor="text1"/>
          <w:sz w:val="24"/>
          <w:szCs w:val="24"/>
          <w:lang w:val="es-ES_tradnl"/>
        </w:rPr>
        <w:t>Disposición Transitoria Segunda </w:t>
      </w:r>
    </w:p>
    <w:p w14:paraId="7C88E643"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2AF698D8"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r w:rsidRPr="009759D3">
        <w:rPr>
          <w:rFonts w:ascii="Garamond" w:hAnsi="Garamond" w:cs="Arial"/>
          <w:color w:val="000000" w:themeColor="text1"/>
          <w:sz w:val="24"/>
          <w:szCs w:val="24"/>
          <w:lang w:val="es-ES_tradnl"/>
        </w:rPr>
        <w:lastRenderedPageBreak/>
        <w:t>Los procedimientos disciplinarios en materia de represión del dopaje en el deporte que hayan sido iniciados antes de la entrada en vigor de esta ley, se regirán por la normativa anterior, salvo que el interesado opte voluntariamente por la aplicación de la presente ley.</w:t>
      </w:r>
    </w:p>
    <w:p w14:paraId="51525DBA"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5FE27871" w14:textId="77777777" w:rsidR="002C55F3" w:rsidRPr="009759D3" w:rsidRDefault="002C55F3" w:rsidP="002C55F3">
      <w:pPr>
        <w:autoSpaceDE w:val="0"/>
        <w:autoSpaceDN w:val="0"/>
        <w:adjustRightInd w:val="0"/>
        <w:jc w:val="both"/>
        <w:rPr>
          <w:rFonts w:ascii="Garamond" w:hAnsi="Garamond" w:cs="Arial"/>
          <w:b/>
          <w:bCs/>
          <w:color w:val="000000" w:themeColor="text1"/>
          <w:sz w:val="24"/>
          <w:szCs w:val="24"/>
          <w:lang w:val="es-ES_tradnl"/>
        </w:rPr>
      </w:pPr>
      <w:r w:rsidRPr="009759D3">
        <w:rPr>
          <w:rFonts w:ascii="Garamond" w:hAnsi="Garamond" w:cs="Arial"/>
          <w:b/>
          <w:bCs/>
          <w:color w:val="000000" w:themeColor="text1"/>
          <w:sz w:val="24"/>
          <w:szCs w:val="24"/>
          <w:lang w:val="es-ES_tradnl"/>
        </w:rPr>
        <w:t>DISPOSICIÓN FINAL </w:t>
      </w:r>
    </w:p>
    <w:p w14:paraId="0E337905"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67B672DB" w14:textId="77777777" w:rsidR="002C55F3" w:rsidRPr="009759D3" w:rsidRDefault="002C55F3" w:rsidP="002C55F3">
      <w:pPr>
        <w:autoSpaceDE w:val="0"/>
        <w:autoSpaceDN w:val="0"/>
        <w:adjustRightInd w:val="0"/>
        <w:jc w:val="both"/>
        <w:rPr>
          <w:rFonts w:ascii="Garamond" w:hAnsi="Garamond" w:cs="Arial"/>
          <w:b/>
          <w:bCs/>
          <w:color w:val="000000" w:themeColor="text1"/>
          <w:sz w:val="24"/>
          <w:szCs w:val="24"/>
          <w:lang w:val="es-ES_tradnl"/>
        </w:rPr>
      </w:pPr>
      <w:r w:rsidRPr="009759D3">
        <w:rPr>
          <w:rFonts w:ascii="Garamond" w:hAnsi="Garamond" w:cs="Arial"/>
          <w:b/>
          <w:bCs/>
          <w:color w:val="000000" w:themeColor="text1"/>
          <w:sz w:val="24"/>
          <w:szCs w:val="24"/>
          <w:lang w:val="es-ES_tradnl"/>
        </w:rPr>
        <w:t>Disposición Final </w:t>
      </w:r>
    </w:p>
    <w:p w14:paraId="5D6124AE"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72C92157"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r w:rsidRPr="009759D3">
        <w:rPr>
          <w:rFonts w:ascii="Garamond" w:hAnsi="Garamond" w:cs="Arial"/>
          <w:color w:val="000000" w:themeColor="text1"/>
          <w:sz w:val="24"/>
          <w:szCs w:val="24"/>
          <w:lang w:val="es-ES_tradnl"/>
        </w:rPr>
        <w:t>La presente Ley entrará en vigor el día siguiente al de su publicación en el Boletín Oficial del País Vasco.</w:t>
      </w:r>
    </w:p>
    <w:p w14:paraId="291109A8"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0DAC4009"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r w:rsidRPr="009759D3">
        <w:rPr>
          <w:rFonts w:ascii="Garamond" w:hAnsi="Garamond" w:cs="Arial"/>
          <w:color w:val="000000" w:themeColor="text1"/>
          <w:sz w:val="24"/>
          <w:szCs w:val="24"/>
          <w:lang w:val="es-ES_tradnl"/>
        </w:rPr>
        <w:t>Por consiguiente, ordeno a todos los ciudadanos y ciudadanas de Euskadi, particulares y autoridades, que la guarden y hagan guardar</w:t>
      </w:r>
    </w:p>
    <w:p w14:paraId="2421501E"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2D0B673E"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r w:rsidRPr="009759D3">
        <w:rPr>
          <w:rFonts w:ascii="Garamond" w:hAnsi="Garamond" w:cs="Arial"/>
          <w:color w:val="000000" w:themeColor="text1"/>
          <w:sz w:val="24"/>
          <w:szCs w:val="24"/>
          <w:lang w:val="es-ES_tradnl"/>
        </w:rPr>
        <w:t>Vitoria-Gasteiz, a …. de ……</w:t>
      </w:r>
      <w:proofErr w:type="gramStart"/>
      <w:r w:rsidRPr="009759D3">
        <w:rPr>
          <w:rFonts w:ascii="Garamond" w:hAnsi="Garamond" w:cs="Arial"/>
          <w:color w:val="000000" w:themeColor="text1"/>
          <w:sz w:val="24"/>
          <w:szCs w:val="24"/>
          <w:lang w:val="es-ES_tradnl"/>
        </w:rPr>
        <w:t>…….</w:t>
      </w:r>
      <w:proofErr w:type="gramEnd"/>
      <w:r w:rsidRPr="009759D3">
        <w:rPr>
          <w:rFonts w:ascii="Garamond" w:hAnsi="Garamond" w:cs="Arial"/>
          <w:color w:val="000000" w:themeColor="text1"/>
          <w:sz w:val="24"/>
          <w:szCs w:val="24"/>
          <w:lang w:val="es-ES_tradnl"/>
        </w:rPr>
        <w:t>. de 2021.</w:t>
      </w:r>
    </w:p>
    <w:p w14:paraId="29846EEC" w14:textId="77777777" w:rsidR="002C55F3" w:rsidRPr="009759D3" w:rsidRDefault="002C55F3" w:rsidP="002C55F3">
      <w:pPr>
        <w:autoSpaceDE w:val="0"/>
        <w:autoSpaceDN w:val="0"/>
        <w:adjustRightInd w:val="0"/>
        <w:jc w:val="both"/>
        <w:rPr>
          <w:rFonts w:ascii="Garamond" w:hAnsi="Garamond" w:cs="Arial"/>
          <w:color w:val="000000" w:themeColor="text1"/>
          <w:sz w:val="24"/>
          <w:szCs w:val="24"/>
          <w:lang w:val="es-ES_tradnl"/>
        </w:rPr>
      </w:pPr>
    </w:p>
    <w:p w14:paraId="58A00C74" w14:textId="77777777" w:rsidR="002C55F3" w:rsidRPr="009759D3" w:rsidRDefault="002C55F3" w:rsidP="002C55F3">
      <w:pPr>
        <w:autoSpaceDE w:val="0"/>
        <w:autoSpaceDN w:val="0"/>
        <w:adjustRightInd w:val="0"/>
        <w:jc w:val="center"/>
        <w:rPr>
          <w:rFonts w:ascii="Garamond" w:hAnsi="Garamond" w:cs="Arial"/>
          <w:color w:val="000000" w:themeColor="text1"/>
          <w:sz w:val="24"/>
          <w:szCs w:val="24"/>
          <w:lang w:val="es-ES_tradnl"/>
        </w:rPr>
      </w:pPr>
      <w:r w:rsidRPr="009759D3">
        <w:rPr>
          <w:rFonts w:ascii="Garamond" w:hAnsi="Garamond" w:cs="Arial"/>
          <w:color w:val="000000" w:themeColor="text1"/>
          <w:sz w:val="24"/>
          <w:szCs w:val="24"/>
          <w:lang w:val="es-ES_tradnl"/>
        </w:rPr>
        <w:t>El Lehendakari,</w:t>
      </w:r>
    </w:p>
    <w:p w14:paraId="0F0AAB3D" w14:textId="77777777" w:rsidR="002C55F3" w:rsidRPr="009759D3" w:rsidRDefault="002C55F3" w:rsidP="002C55F3">
      <w:pPr>
        <w:autoSpaceDE w:val="0"/>
        <w:autoSpaceDN w:val="0"/>
        <w:adjustRightInd w:val="0"/>
        <w:jc w:val="center"/>
        <w:rPr>
          <w:rFonts w:ascii="Garamond" w:hAnsi="Garamond" w:cs="Arial"/>
          <w:color w:val="000000" w:themeColor="text1"/>
          <w:sz w:val="24"/>
          <w:szCs w:val="24"/>
          <w:lang w:val="es-ES_tradnl"/>
        </w:rPr>
      </w:pPr>
    </w:p>
    <w:p w14:paraId="2758089F" w14:textId="77777777" w:rsidR="002C55F3" w:rsidRPr="009759D3" w:rsidRDefault="002C55F3" w:rsidP="002C55F3">
      <w:pPr>
        <w:autoSpaceDE w:val="0"/>
        <w:autoSpaceDN w:val="0"/>
        <w:adjustRightInd w:val="0"/>
        <w:jc w:val="center"/>
        <w:rPr>
          <w:rFonts w:ascii="Garamond" w:hAnsi="Garamond" w:cs="Arial"/>
          <w:color w:val="000000" w:themeColor="text1"/>
          <w:sz w:val="24"/>
          <w:szCs w:val="24"/>
          <w:lang w:val="es-ES_tradnl"/>
        </w:rPr>
      </w:pPr>
      <w:r w:rsidRPr="009759D3">
        <w:rPr>
          <w:rFonts w:ascii="Garamond" w:hAnsi="Garamond" w:cs="Arial"/>
          <w:color w:val="000000" w:themeColor="text1"/>
          <w:sz w:val="24"/>
          <w:szCs w:val="24"/>
          <w:lang w:val="es-ES_tradnl"/>
        </w:rPr>
        <w:t>IÑIGO URKULLU RENTERIA.</w:t>
      </w:r>
    </w:p>
    <w:p w14:paraId="774F7DD8" w14:textId="77777777" w:rsidR="002C55F3" w:rsidRPr="009759D3" w:rsidRDefault="002C55F3" w:rsidP="002C55F3">
      <w:pPr>
        <w:rPr>
          <w:rFonts w:ascii="Garamond" w:hAnsi="Garamond" w:cs="Arial"/>
          <w:color w:val="000000" w:themeColor="text1"/>
          <w:sz w:val="24"/>
          <w:szCs w:val="24"/>
        </w:rPr>
      </w:pPr>
    </w:p>
    <w:p w14:paraId="3F9BCF9D" w14:textId="77777777" w:rsidR="00A714E9" w:rsidRPr="002C55F3" w:rsidRDefault="00A714E9" w:rsidP="002C55F3"/>
    <w:sectPr w:rsidR="00A714E9" w:rsidRPr="002C55F3">
      <w:headerReference w:type="default" r:id="rId10"/>
      <w:headerReference w:type="first" r:id="rId11"/>
      <w:footerReference w:type="first" r:id="rId12"/>
      <w:pgSz w:w="11907" w:h="16840"/>
      <w:pgMar w:top="1418" w:right="1701" w:bottom="1418" w:left="1701" w:header="720" w:footer="8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F1B51" w14:textId="77777777" w:rsidR="0047385A" w:rsidRDefault="0047385A">
      <w:r>
        <w:separator/>
      </w:r>
    </w:p>
  </w:endnote>
  <w:endnote w:type="continuationSeparator" w:id="0">
    <w:p w14:paraId="7FCF4B29" w14:textId="77777777" w:rsidR="0047385A" w:rsidRDefault="0047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9F018" w14:textId="77777777" w:rsidR="00FD1BBF" w:rsidRDefault="00FD1BBF" w:rsidP="00FD1BBF">
    <w:pPr>
      <w:pStyle w:val="Orri-oina"/>
      <w:tabs>
        <w:tab w:val="clear" w:pos="9071"/>
      </w:tabs>
      <w:jc w:val="center"/>
      <w:rPr>
        <w:rFonts w:ascii="Arial" w:hAnsi="Arial"/>
        <w:sz w:val="13"/>
      </w:rPr>
    </w:pPr>
    <w:r>
      <w:rPr>
        <w:rFonts w:ascii="Arial" w:hAnsi="Arial"/>
        <w:sz w:val="13"/>
      </w:rPr>
      <w:t xml:space="preserve">Donostia - San </w:t>
    </w:r>
    <w:proofErr w:type="spellStart"/>
    <w:r>
      <w:rPr>
        <w:rFonts w:ascii="Arial" w:hAnsi="Arial"/>
        <w:sz w:val="13"/>
      </w:rPr>
      <w:t>Sebastian</w:t>
    </w:r>
    <w:proofErr w:type="spellEnd"/>
    <w:r>
      <w:rPr>
        <w:rFonts w:ascii="Arial" w:hAnsi="Arial"/>
        <w:sz w:val="13"/>
      </w:rPr>
      <w:t>, 1 –  01010 VITORIA-GASTEIZ</w:t>
    </w:r>
  </w:p>
  <w:p w14:paraId="5DECA88D" w14:textId="77777777" w:rsidR="00FD1BBF" w:rsidRDefault="0057469E" w:rsidP="00FD1BBF">
    <w:pPr>
      <w:pStyle w:val="Orri-oina"/>
      <w:tabs>
        <w:tab w:val="clear" w:pos="9071"/>
      </w:tabs>
      <w:jc w:val="center"/>
      <w:rPr>
        <w:rFonts w:ascii="Arial" w:hAnsi="Arial"/>
        <w:sz w:val="13"/>
      </w:rPr>
    </w:pPr>
    <w:r>
      <w:rPr>
        <w:rFonts w:ascii="Arial" w:hAnsi="Arial"/>
        <w:sz w:val="13"/>
      </w:rPr>
      <w:t xml:space="preserve"> </w:t>
    </w:r>
    <w:proofErr w:type="spellStart"/>
    <w:r>
      <w:rPr>
        <w:rFonts w:ascii="Arial" w:hAnsi="Arial"/>
        <w:sz w:val="13"/>
      </w:rPr>
      <w:t>tef</w:t>
    </w:r>
    <w:proofErr w:type="spellEnd"/>
    <w:r>
      <w:rPr>
        <w:rFonts w:ascii="Arial" w:hAnsi="Arial"/>
        <w:sz w:val="13"/>
      </w:rPr>
      <w:t xml:space="preserve">. 945 01 </w:t>
    </w:r>
    <w:proofErr w:type="gramStart"/>
    <w:r>
      <w:rPr>
        <w:rFonts w:ascii="Arial" w:hAnsi="Arial"/>
        <w:sz w:val="13"/>
      </w:rPr>
      <w:t>94</w:t>
    </w:r>
    <w:r w:rsidR="00FD1BBF">
      <w:rPr>
        <w:rFonts w:ascii="Arial" w:hAnsi="Arial"/>
        <w:sz w:val="13"/>
      </w:rPr>
      <w:t xml:space="preserve"> </w:t>
    </w:r>
    <w:r>
      <w:rPr>
        <w:rFonts w:ascii="Arial" w:hAnsi="Arial"/>
        <w:sz w:val="13"/>
      </w:rPr>
      <w:t xml:space="preserve"> 7</w:t>
    </w:r>
    <w:r w:rsidR="00404B50">
      <w:rPr>
        <w:rFonts w:ascii="Arial" w:hAnsi="Arial"/>
        <w:sz w:val="13"/>
      </w:rPr>
      <w:t>5</w:t>
    </w:r>
    <w:proofErr w:type="gramEnd"/>
    <w:r>
      <w:rPr>
        <w:rFonts w:ascii="Arial" w:hAnsi="Arial"/>
        <w:sz w:val="13"/>
      </w:rPr>
      <w:t xml:space="preserve"> –</w:t>
    </w:r>
    <w:r w:rsidR="00FD1BBF">
      <w:rPr>
        <w:rFonts w:ascii="Arial" w:hAnsi="Arial"/>
        <w:sz w:val="13"/>
      </w:rPr>
      <w:t xml:space="preserve">– e-mail </w:t>
    </w:r>
    <w:r w:rsidR="003A1941">
      <w:rPr>
        <w:rFonts w:ascii="Arial" w:hAnsi="Arial"/>
        <w:sz w:val="13"/>
      </w:rPr>
      <w:t>kirolak</w:t>
    </w:r>
    <w:r w:rsidR="00D3142A">
      <w:rPr>
        <w:rFonts w:ascii="Arial" w:hAnsi="Arial"/>
        <w:sz w:val="13"/>
      </w:rPr>
      <w:t>@euskadi</w:t>
    </w:r>
    <w:r w:rsidR="00FD1BBF">
      <w:rPr>
        <w:rFonts w:ascii="Arial" w:hAnsi="Arial"/>
        <w:sz w:val="13"/>
      </w:rPr>
      <w:t>.e</w:t>
    </w:r>
    <w:r w:rsidR="00D3142A">
      <w:rPr>
        <w:rFonts w:ascii="Arial" w:hAnsi="Arial"/>
        <w:sz w:val="13"/>
      </w:rPr>
      <w:t>u</w:t>
    </w:r>
    <w:r w:rsidR="00FD1BBF">
      <w:rPr>
        <w:rFonts w:ascii="Arial" w:hAnsi="Arial"/>
        <w:sz w:val="13"/>
      </w:rPr>
      <w: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D0734" w14:textId="77777777" w:rsidR="0047385A" w:rsidRDefault="0047385A">
      <w:r>
        <w:separator/>
      </w:r>
    </w:p>
  </w:footnote>
  <w:footnote w:type="continuationSeparator" w:id="0">
    <w:p w14:paraId="693E036F" w14:textId="77777777" w:rsidR="0047385A" w:rsidRDefault="00473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BFADA" w14:textId="77777777" w:rsidR="00F82C75" w:rsidRDefault="00F82C75">
    <w:pPr>
      <w:pStyle w:val="Goiburua"/>
      <w:jc w:val="center"/>
    </w:pPr>
    <w:r>
      <w:rPr>
        <w:noProof/>
      </w:rPr>
      <w:object w:dxaOrig="11549" w:dyaOrig="1410" w14:anchorId="428230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fillcolor="window">
          <v:imagedata r:id="rId1" o:title=""/>
        </v:shape>
        <o:OLEObject Type="Embed" ProgID="MSPhotoEd.3" ShapeID="_x0000_i1025" DrawAspect="Content" ObjectID="_1679217934" r:id="rId2"/>
      </w:object>
    </w:r>
  </w:p>
  <w:p w14:paraId="63F381AB" w14:textId="77777777" w:rsidR="00F82C75" w:rsidRDefault="00F82C75">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C1E0C" w14:textId="2E5E443A" w:rsidR="00F82C75" w:rsidRDefault="00C73011">
    <w:pPr>
      <w:pStyle w:val="Goiburua"/>
      <w:tabs>
        <w:tab w:val="right" w:pos="9923"/>
      </w:tabs>
      <w:ind w:right="-142"/>
      <w:jc w:val="center"/>
      <w:rPr>
        <w:rFonts w:ascii="Arial" w:hAnsi="Arial"/>
        <w:sz w:val="16"/>
      </w:rPr>
    </w:pPr>
    <w:r>
      <w:rPr>
        <w:noProof/>
        <w:sz w:val="16"/>
        <w:lang w:val="eu-ES" w:eastAsia="eu-ES"/>
      </w:rPr>
      <mc:AlternateContent>
        <mc:Choice Requires="wps">
          <w:drawing>
            <wp:anchor distT="0" distB="0" distL="114300" distR="114300" simplePos="0" relativeHeight="251657216" behindDoc="0" locked="0" layoutInCell="0" allowOverlap="1" wp14:anchorId="7ACA2490" wp14:editId="12E0F87A">
              <wp:simplePos x="0" y="0"/>
              <wp:positionH relativeFrom="page">
                <wp:posOffset>1990090</wp:posOffset>
              </wp:positionH>
              <wp:positionV relativeFrom="page">
                <wp:posOffset>967740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1DB52" w14:textId="77777777" w:rsidR="00F82C75" w:rsidRDefault="006C2D47">
                          <w:pPr>
                            <w:pStyle w:val="2izenburua"/>
                            <w:spacing w:after="35"/>
                          </w:pPr>
                          <w:r w:rsidRPr="006C2D47">
                            <w:t>KULTURA ETA HIZKUNTZA POLITIKA SAILA</w:t>
                          </w:r>
                        </w:p>
                        <w:p w14:paraId="3E57D22C" w14:textId="77777777" w:rsidR="00F82C75" w:rsidRDefault="00862314">
                          <w:pPr>
                            <w:pStyle w:val="4izenburua"/>
                          </w:pPr>
                          <w:proofErr w:type="spellStart"/>
                          <w:r>
                            <w:t>Jarduera</w:t>
                          </w:r>
                          <w:proofErr w:type="spellEnd"/>
                          <w:r>
                            <w:t xml:space="preserve"> </w:t>
                          </w:r>
                          <w:proofErr w:type="spellStart"/>
                          <w:r>
                            <w:t>Fisikoaren</w:t>
                          </w:r>
                          <w:proofErr w:type="spellEnd"/>
                          <w:r>
                            <w:t xml:space="preserve"> eta </w:t>
                          </w:r>
                          <w:proofErr w:type="spellStart"/>
                          <w:r w:rsidR="00404B50">
                            <w:t>Kiro</w:t>
                          </w:r>
                          <w:r>
                            <w:t>laren</w:t>
                          </w:r>
                          <w:proofErr w:type="spellEnd"/>
                          <w:r>
                            <w:t xml:space="preserve"> </w:t>
                          </w:r>
                          <w:r w:rsidR="0057469E">
                            <w:t>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A2490" id="_x0000_t202" coordsize="21600,21600" o:spt="202" path="m,l,21600r21600,l21600,xe">
              <v:stroke joinstyle="miter"/>
              <v:path gradientshapeok="t" o:connecttype="rect"/>
            </v:shapetype>
            <v:shape id="Text Box 1" o:spid="_x0000_s1026" type="#_x0000_t202" style="position:absolute;left:0;text-align:left;margin-left:156.7pt;margin-top:76.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A60NzN8AAAALAQAADwAAAGRycy9kb3ducmV2LnhtbEyPwU7DMAyG70i8Q2Qkbixpt05raTohEFcQ&#10;AybtljVeW9E4VZOt5e0xJ7jZ+j/9/lxuZ9eLC46h86QhWSgQSLW3HTUaPt6f7zYgQjRkTe8JNXxj&#10;gG11fVWawvqJ3vCyi43gEgqF0dDGOBRShrpFZ8LCD0icnfzoTOR1bKQdzcTlrpepUmvpTEd8oTUD&#10;PrZYf+3OTsPny+mwX6nX5sllw+RnJcnlUuvbm/nhHkTEOf7B8KvP6lCx09GfyQbRa1gmyxWjHGQp&#10;D0xkeZKDOGpI1/kGZFXK/z9UPwAAAP//AwBQSwECLQAUAAYACAAAACEAtoM4kv4AAADhAQAAEwAA&#10;AAAAAAAAAAAAAAAAAAAAW0NvbnRlbnRfVHlwZXNdLnhtbFBLAQItABQABgAIAAAAIQA4/SH/1gAA&#10;AJQBAAALAAAAAAAAAAAAAAAAAC8BAABfcmVscy8ucmVsc1BLAQItABQABgAIAAAAIQAMjvbCtwIA&#10;AMAFAAAOAAAAAAAAAAAAAAAAAC4CAABkcnMvZTJvRG9jLnhtbFBLAQItABQABgAIAAAAIQADrQ3M&#10;3wAAAAsBAAAPAAAAAAAAAAAAAAAAABEFAABkcnMvZG93bnJldi54bWxQSwUGAAAAAAQABADzAAAA&#10;HQYAAAAA&#10;" o:allowincell="f" filled="f" stroked="f">
              <v:textbox>
                <w:txbxContent>
                  <w:p w14:paraId="6B51DB52" w14:textId="77777777" w:rsidR="00F82C75" w:rsidRDefault="006C2D47">
                    <w:pPr>
                      <w:pStyle w:val="2izenburua"/>
                      <w:spacing w:after="35"/>
                    </w:pPr>
                    <w:r w:rsidRPr="006C2D47">
                      <w:t>KULTURA ETA HIZKUNTZA POLITIKA SAILA</w:t>
                    </w:r>
                  </w:p>
                  <w:p w14:paraId="3E57D22C" w14:textId="77777777" w:rsidR="00F82C75" w:rsidRDefault="00862314">
                    <w:pPr>
                      <w:pStyle w:val="4izenburua"/>
                    </w:pPr>
                    <w:proofErr w:type="spellStart"/>
                    <w:r>
                      <w:t>Jarduera</w:t>
                    </w:r>
                    <w:proofErr w:type="spellEnd"/>
                    <w:r>
                      <w:t xml:space="preserve"> </w:t>
                    </w:r>
                    <w:proofErr w:type="spellStart"/>
                    <w:r>
                      <w:t>Fisikoaren</w:t>
                    </w:r>
                    <w:proofErr w:type="spellEnd"/>
                    <w:r>
                      <w:t xml:space="preserve"> eta </w:t>
                    </w:r>
                    <w:proofErr w:type="spellStart"/>
                    <w:r w:rsidR="00404B50">
                      <w:t>Kiro</w:t>
                    </w:r>
                    <w:r>
                      <w:t>laren</w:t>
                    </w:r>
                    <w:proofErr w:type="spellEnd"/>
                    <w:r>
                      <w:t xml:space="preserve"> </w:t>
                    </w:r>
                    <w:r w:rsidR="0057469E">
                      <w:t>Zuzendaritza</w:t>
                    </w:r>
                  </w:p>
                </w:txbxContent>
              </v:textbox>
              <w10:wrap type="square" anchorx="page" anchory="page"/>
            </v:shape>
          </w:pict>
        </mc:Fallback>
      </mc:AlternateContent>
    </w:r>
    <w:r>
      <w:rPr>
        <w:noProof/>
        <w:lang w:val="eu-ES" w:eastAsia="eu-ES"/>
      </w:rPr>
      <mc:AlternateContent>
        <mc:Choice Requires="wps">
          <w:drawing>
            <wp:anchor distT="0" distB="0" distL="114300" distR="114300" simplePos="0" relativeHeight="251658240" behindDoc="0" locked="0" layoutInCell="0" allowOverlap="1" wp14:anchorId="178FDBF7" wp14:editId="55EF9888">
              <wp:simplePos x="0" y="0"/>
              <wp:positionH relativeFrom="page">
                <wp:posOffset>4076700</wp:posOffset>
              </wp:positionH>
              <wp:positionV relativeFrom="page">
                <wp:posOffset>929640</wp:posOffset>
              </wp:positionV>
              <wp:extent cx="1908810"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38288" w14:textId="77777777" w:rsidR="00F82C75" w:rsidRDefault="006C2D47">
                          <w:pPr>
                            <w:pStyle w:val="2izenburua"/>
                            <w:spacing w:after="35"/>
                          </w:pPr>
                          <w:r w:rsidRPr="006C2D47">
                            <w:t>DEPARTAMENTO DE CULTURA</w:t>
                          </w:r>
                          <w:r w:rsidR="00815541">
                            <w:br/>
                          </w:r>
                          <w:r w:rsidRPr="006C2D47">
                            <w:t>Y POLÍTICA LINGÜÍSTICA</w:t>
                          </w:r>
                        </w:p>
                        <w:p w14:paraId="7EF384FA" w14:textId="77777777" w:rsidR="00F82C75" w:rsidRDefault="00F82C75">
                          <w:pPr>
                            <w:pStyle w:val="4izenburua"/>
                          </w:pPr>
                          <w:r>
                            <w:t xml:space="preserve">Dirección </w:t>
                          </w:r>
                          <w:r w:rsidR="00862314">
                            <w:t>Actividad Física y</w:t>
                          </w:r>
                          <w:r>
                            <w:t xml:space="preserve"> </w:t>
                          </w:r>
                          <w:r w:rsidR="00862314">
                            <w:t>Deporte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FDBF7" id="Text Box 2" o:spid="_x0000_s1027" type="#_x0000_t202" style="position:absolute;left:0;text-align:left;margin-left:321pt;margin-top:73.2pt;width:150.3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N6tQ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kW2O+OgM3B6GMDN7OEYWHaV6uFeVt80EnLZUrFht0rJsWW0huxCe9O/uDrh&#10;aAuyHj/KGsLQrZEOaN+o3rYOmoEAHVh6OjFjU6lsyDRIkhBMFdiS+F0cOOp8mh1vD0qb90z2yC5y&#10;rIB5h05399rYbGh2dLHBhCx51zn2O/HsABynE4gNV63NZuHI/JkG6SpZJcQjUbzySFAU3m25JF5c&#10;hvNZ8a5YLovwl40bkqzldc2EDXMUVkj+jLiDxCdJnKSlZcdrC2dT0mqzXnYK7SgIu3Sf6zlYzm7+&#10;8zRcE6CWFyWFEQnuotQr42TukZLMvHQeJF4QpndpHJCUFOXzku65YP9eEhpznM6i2SSmc9Ivagvc&#10;97o2mvXcwOjoeA+KODnRzEpwJWpHraG8m9YXrbDpn1sBdB+JdoK1Gp3UavbrPaBYFa9l/QTSVRKU&#10;BSKEeQeLVqofGI0wO3Ksv2+pYhh1HwTIPw0JscPGbchsHsFGXVrWlxYqKoDKscFoWi7NNKC2g+Kb&#10;FiJND07IW3gyDXdqPmd1eGgwH1xRh1lmB9Dl3nmdJ+7iNwAAAP//AwBQSwMEFAAGAAgAAAAhACSd&#10;KJTeAAAACwEAAA8AAABkcnMvZG93bnJldi54bWxMj81OwzAQhO9IvIO1SNyojWWiNsSpEIgriPIj&#10;cXPjbRIRr6PYbcLbs5zgOJrRzDfVdgmDOOGU+kgWrlcKBFITfU+thbfXx6s1iJQdeTdEQgvfmGBb&#10;n59VrvRxphc87XIruIRS6Sx0OY+llKnpMLi0iiMSe4c4BZdZTq30k5u5PAxSK1XI4Hrihc6NeN9h&#10;87U7BgvvT4fPD6Oe24dwM85xUZLCRlp7ebHc3YLIuOS/MPziMzrUzLSPR/JJDBYKo/lLZsMUBgQn&#10;NkYXIPYW9FobkHUl/3+ofwAAAP//AwBQSwECLQAUAAYACAAAACEAtoM4kv4AAADhAQAAEwAAAAAA&#10;AAAAAAAAAAAAAAAAW0NvbnRlbnRfVHlwZXNdLnhtbFBLAQItABQABgAIAAAAIQA4/SH/1gAAAJQB&#10;AAALAAAAAAAAAAAAAAAAAC8BAABfcmVscy8ucmVsc1BLAQItABQABgAIAAAAIQAFXbN6tQIAALkF&#10;AAAOAAAAAAAAAAAAAAAAAC4CAABkcnMvZTJvRG9jLnhtbFBLAQItABQABgAIAAAAIQAknSiU3gAA&#10;AAsBAAAPAAAAAAAAAAAAAAAAAA8FAABkcnMvZG93bnJldi54bWxQSwUGAAAAAAQABADzAAAAGgYA&#10;AAAA&#10;" o:allowincell="f" filled="f" stroked="f">
              <v:textbox>
                <w:txbxContent>
                  <w:p w14:paraId="7E438288" w14:textId="77777777" w:rsidR="00F82C75" w:rsidRDefault="006C2D47">
                    <w:pPr>
                      <w:pStyle w:val="2izenburua"/>
                      <w:spacing w:after="35"/>
                    </w:pPr>
                    <w:r w:rsidRPr="006C2D47">
                      <w:t>DEPARTAMENTO DE CULTURA</w:t>
                    </w:r>
                    <w:r w:rsidR="00815541">
                      <w:br/>
                    </w:r>
                    <w:r w:rsidRPr="006C2D47">
                      <w:t>Y POLÍTICA LINGÜÍSTICA</w:t>
                    </w:r>
                  </w:p>
                  <w:p w14:paraId="7EF384FA" w14:textId="77777777" w:rsidR="00F82C75" w:rsidRDefault="00F82C75">
                    <w:pPr>
                      <w:pStyle w:val="4izenburua"/>
                    </w:pPr>
                    <w:r>
                      <w:t xml:space="preserve">Dirección </w:t>
                    </w:r>
                    <w:r w:rsidR="00862314">
                      <w:t>Actividad Física y</w:t>
                    </w:r>
                    <w:r>
                      <w:t xml:space="preserve"> </w:t>
                    </w:r>
                    <w:r w:rsidR="00862314">
                      <w:t>Deporte</w:t>
                    </w:r>
                  </w:p>
                </w:txbxContent>
              </v:textbox>
              <w10:wrap type="square" anchorx="page" anchory="page"/>
            </v:shape>
          </w:pict>
        </mc:Fallback>
      </mc:AlternateContent>
    </w:r>
    <w:r w:rsidR="00F82C75">
      <w:rPr>
        <w:rFonts w:ascii="Arial" w:hAnsi="Arial"/>
        <w:noProof/>
        <w:sz w:val="16"/>
      </w:rPr>
      <w:object w:dxaOrig="18028" w:dyaOrig="2235" w14:anchorId="1AC47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fillcolor="window">
          <v:imagedata r:id="rId1" o:title=""/>
        </v:shape>
        <o:OLEObject Type="Embed" ProgID="MSPhotoEd.3" ShapeID="_x0000_i1026" DrawAspect="Content" ObjectID="_1679217935" r:id="rId2"/>
      </w:object>
    </w:r>
  </w:p>
  <w:p w14:paraId="3FA98F32" w14:textId="5E81A330" w:rsidR="00F82C75" w:rsidRDefault="00F82C75">
    <w:pPr>
      <w:pStyle w:val="Goiburua"/>
      <w:tabs>
        <w:tab w:val="right" w:pos="9923"/>
      </w:tabs>
      <w:ind w:right="-142"/>
      <w:jc w:val="center"/>
      <w:rPr>
        <w:rFonts w:ascii="Arial" w:hAnsi="Arial"/>
        <w:sz w:val="16"/>
      </w:rPr>
    </w:pPr>
  </w:p>
  <w:p w14:paraId="66E74D06" w14:textId="560CF03E" w:rsidR="00F82C75" w:rsidRDefault="00F82C75">
    <w:pPr>
      <w:pStyle w:val="Goiburua"/>
      <w:tabs>
        <w:tab w:val="right" w:pos="9923"/>
      </w:tabs>
      <w:ind w:right="-142"/>
      <w:jc w:val="center"/>
      <w:rPr>
        <w:rFonts w:ascii="Arial" w:hAnsi="Arial"/>
        <w:sz w:val="16"/>
      </w:rPr>
    </w:pPr>
  </w:p>
  <w:p w14:paraId="5282D38B" w14:textId="3786E1A6" w:rsidR="00F82C75" w:rsidRDefault="00F82C75">
    <w:pPr>
      <w:pStyle w:val="Goiburua"/>
      <w:tabs>
        <w:tab w:val="right" w:pos="9923"/>
      </w:tabs>
      <w:ind w:right="-142"/>
      <w:jc w:val="cente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B7422"/>
    <w:multiLevelType w:val="hybridMultilevel"/>
    <w:tmpl w:val="77E8824A"/>
    <w:lvl w:ilvl="0" w:tplc="040A0017">
      <w:start w:val="1"/>
      <w:numFmt w:val="lowerLetter"/>
      <w:lvlText w:val="%1)"/>
      <w:lvlJc w:val="left"/>
      <w:pPr>
        <w:ind w:left="720" w:hanging="360"/>
      </w:pPr>
      <w:rPr>
        <w:rFonts w:hint="default"/>
        <w:sz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F8946EB"/>
    <w:multiLevelType w:val="multilevel"/>
    <w:tmpl w:val="C6BEF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EE53CF"/>
    <w:multiLevelType w:val="hybridMultilevel"/>
    <w:tmpl w:val="F2AE925E"/>
    <w:lvl w:ilvl="0" w:tplc="A5A0562A">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64C7186"/>
    <w:multiLevelType w:val="hybridMultilevel"/>
    <w:tmpl w:val="E3747D6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031E7C"/>
    <w:multiLevelType w:val="hybridMultilevel"/>
    <w:tmpl w:val="9E6078D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64696268"/>
    <w:multiLevelType w:val="hybridMultilevel"/>
    <w:tmpl w:val="3768F5DE"/>
    <w:lvl w:ilvl="0" w:tplc="CD32A220">
      <w:start w:val="1"/>
      <w:numFmt w:val="lowerRoman"/>
      <w:lvlText w:val="(%1)"/>
      <w:lvlJc w:val="left"/>
      <w:pPr>
        <w:ind w:left="2496" w:hanging="1080"/>
      </w:pPr>
      <w:rPr>
        <w:rFonts w:hint="default"/>
      </w:r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6" w15:restartNumberingAfterBreak="0">
    <w:nsid w:val="6FE45D7E"/>
    <w:multiLevelType w:val="hybridMultilevel"/>
    <w:tmpl w:val="D0F6FCB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63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314"/>
    <w:rsid w:val="00002E97"/>
    <w:rsid w:val="00033B6B"/>
    <w:rsid w:val="00082D20"/>
    <w:rsid w:val="00082FA3"/>
    <w:rsid w:val="000B3743"/>
    <w:rsid w:val="00125EE7"/>
    <w:rsid w:val="00150B55"/>
    <w:rsid w:val="001A46DE"/>
    <w:rsid w:val="002969EC"/>
    <w:rsid w:val="002B20DC"/>
    <w:rsid w:val="002C55F3"/>
    <w:rsid w:val="002D7DDF"/>
    <w:rsid w:val="003A1941"/>
    <w:rsid w:val="003D4147"/>
    <w:rsid w:val="00404B50"/>
    <w:rsid w:val="00405F21"/>
    <w:rsid w:val="00423F5B"/>
    <w:rsid w:val="0047385A"/>
    <w:rsid w:val="00493352"/>
    <w:rsid w:val="00496497"/>
    <w:rsid w:val="004A165A"/>
    <w:rsid w:val="004A3125"/>
    <w:rsid w:val="004B589E"/>
    <w:rsid w:val="004F305E"/>
    <w:rsid w:val="004F6093"/>
    <w:rsid w:val="00537DE1"/>
    <w:rsid w:val="00542AE0"/>
    <w:rsid w:val="0057469E"/>
    <w:rsid w:val="00583400"/>
    <w:rsid w:val="00595CD1"/>
    <w:rsid w:val="005B0850"/>
    <w:rsid w:val="005F1681"/>
    <w:rsid w:val="00605177"/>
    <w:rsid w:val="006157FC"/>
    <w:rsid w:val="0066488C"/>
    <w:rsid w:val="006C2D47"/>
    <w:rsid w:val="00794E27"/>
    <w:rsid w:val="007A2D1D"/>
    <w:rsid w:val="007D62E2"/>
    <w:rsid w:val="00815541"/>
    <w:rsid w:val="00817ECC"/>
    <w:rsid w:val="00834EA9"/>
    <w:rsid w:val="00862314"/>
    <w:rsid w:val="008906A5"/>
    <w:rsid w:val="00891CB3"/>
    <w:rsid w:val="008B34A3"/>
    <w:rsid w:val="009576AE"/>
    <w:rsid w:val="009F4966"/>
    <w:rsid w:val="00A714E9"/>
    <w:rsid w:val="00AF10D0"/>
    <w:rsid w:val="00B74C01"/>
    <w:rsid w:val="00BA6AA6"/>
    <w:rsid w:val="00BB3EAA"/>
    <w:rsid w:val="00C5770E"/>
    <w:rsid w:val="00C703A2"/>
    <w:rsid w:val="00C73011"/>
    <w:rsid w:val="00D3142A"/>
    <w:rsid w:val="00D629ED"/>
    <w:rsid w:val="00E65493"/>
    <w:rsid w:val="00F06A48"/>
    <w:rsid w:val="00F2157B"/>
    <w:rsid w:val="00F31EB9"/>
    <w:rsid w:val="00F44FD1"/>
    <w:rsid w:val="00F82C75"/>
    <w:rsid w:val="00FB5AE5"/>
    <w:rsid w:val="00FD1B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7"/>
    <o:shapelayout v:ext="edit">
      <o:idmap v:ext="edit" data="1"/>
    </o:shapelayout>
  </w:shapeDefaults>
  <w:decimalSymbol w:val=","/>
  <w:listSeparator w:val=";"/>
  <w14:docId w14:val="71EE197C"/>
  <w15:docId w15:val="{A507FE35-75FE-4429-8E91-1FFC1711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F44FD1"/>
    <w:pPr>
      <w:spacing w:after="160" w:line="259" w:lineRule="auto"/>
    </w:pPr>
    <w:rPr>
      <w:rFonts w:asciiTheme="minorHAnsi" w:eastAsiaTheme="minorHAnsi" w:hAnsiTheme="minorHAnsi" w:cstheme="minorBidi"/>
      <w:sz w:val="22"/>
      <w:szCs w:val="22"/>
      <w:lang w:eastAsia="en-US"/>
    </w:rPr>
  </w:style>
  <w:style w:type="paragraph" w:styleId="1izenburua">
    <w:name w:val="heading 1"/>
    <w:basedOn w:val="Normala"/>
    <w:next w:val="Normala"/>
    <w:link w:val="1izenburuaKar"/>
    <w:qFormat/>
    <w:pPr>
      <w:spacing w:before="240"/>
      <w:outlineLvl w:val="0"/>
    </w:pPr>
    <w:rPr>
      <w:rFonts w:ascii="Arial" w:hAnsi="Arial"/>
      <w:b/>
      <w:u w:val="single"/>
    </w:rPr>
  </w:style>
  <w:style w:type="paragraph" w:styleId="2izenburua">
    <w:name w:val="heading 2"/>
    <w:basedOn w:val="Normala"/>
    <w:next w:val="Normala"/>
    <w:qFormat/>
    <w:pPr>
      <w:keepNext/>
      <w:outlineLvl w:val="1"/>
    </w:pPr>
    <w:rPr>
      <w:rFonts w:ascii="Arial" w:hAnsi="Arial"/>
      <w:b/>
      <w:sz w:val="14"/>
    </w:rPr>
  </w:style>
  <w:style w:type="paragraph" w:styleId="3izenburua">
    <w:name w:val="heading 3"/>
    <w:basedOn w:val="Normala"/>
    <w:next w:val="Normala"/>
    <w:qFormat/>
    <w:pPr>
      <w:keepNext/>
      <w:spacing w:before="20"/>
      <w:outlineLvl w:val="2"/>
    </w:pPr>
    <w:rPr>
      <w:rFonts w:ascii="Arial" w:hAnsi="Arial"/>
      <w:i/>
      <w:sz w:val="13"/>
    </w:rPr>
  </w:style>
  <w:style w:type="paragraph" w:styleId="4izenburua">
    <w:name w:val="heading 4"/>
    <w:basedOn w:val="Normala"/>
    <w:next w:val="Normala"/>
    <w:qFormat/>
    <w:pPr>
      <w:keepNext/>
      <w:spacing w:before="35"/>
      <w:outlineLvl w:val="3"/>
    </w:pPr>
    <w:rPr>
      <w:rFonts w:ascii="Arial" w:hAnsi="Arial"/>
      <w:i/>
      <w:sz w:val="1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Iruzkinarenerreferentzia">
    <w:name w:val="annotation reference"/>
    <w:basedOn w:val="Paragrafoarenletra-tipolehenetsia"/>
    <w:semiHidden/>
    <w:rPr>
      <w:sz w:val="16"/>
    </w:rPr>
  </w:style>
  <w:style w:type="paragraph" w:styleId="Iruzkinarentestua">
    <w:name w:val="annotation text"/>
    <w:basedOn w:val="Normala"/>
    <w:semiHidden/>
    <w:rPr>
      <w:sz w:val="20"/>
    </w:rPr>
  </w:style>
  <w:style w:type="paragraph" w:styleId="Orri-oina">
    <w:name w:val="footer"/>
    <w:basedOn w:val="Normala"/>
    <w:pPr>
      <w:tabs>
        <w:tab w:val="center" w:pos="4819"/>
        <w:tab w:val="right" w:pos="9071"/>
      </w:tabs>
    </w:pPr>
  </w:style>
  <w:style w:type="paragraph" w:styleId="Goiburua">
    <w:name w:val="header"/>
    <w:basedOn w:val="Normala"/>
    <w:pPr>
      <w:tabs>
        <w:tab w:val="center" w:pos="4819"/>
        <w:tab w:val="right" w:pos="9071"/>
      </w:tabs>
    </w:pPr>
  </w:style>
  <w:style w:type="paragraph" w:customStyle="1" w:styleId="Destinatario">
    <w:name w:val="Destinatario"/>
    <w:basedOn w:val="Normala"/>
    <w:pPr>
      <w:ind w:left="4253"/>
    </w:pPr>
  </w:style>
  <w:style w:type="paragraph" w:customStyle="1" w:styleId="Subparrafo1">
    <w:name w:val="Subparrafo1"/>
    <w:basedOn w:val="Normala"/>
    <w:pPr>
      <w:ind w:left="284" w:hanging="142"/>
    </w:pPr>
  </w:style>
  <w:style w:type="paragraph" w:customStyle="1" w:styleId="Titulo">
    <w:name w:val="Titulo"/>
    <w:basedOn w:val="Normala"/>
    <w:pPr>
      <w:jc w:val="center"/>
    </w:pPr>
    <w:rPr>
      <w:b/>
      <w:sz w:val="30"/>
    </w:rPr>
  </w:style>
  <w:style w:type="character" w:customStyle="1" w:styleId="1izenburuaKar">
    <w:name w:val="1. izenburua Kar"/>
    <w:basedOn w:val="Paragrafoarenletra-tipolehenetsia"/>
    <w:link w:val="1izenburua"/>
    <w:rsid w:val="00493352"/>
    <w:rPr>
      <w:rFonts w:ascii="Arial" w:hAnsi="Arial"/>
      <w:b/>
      <w:sz w:val="24"/>
      <w:u w:val="single"/>
      <w:lang w:val="eu-ES" w:eastAsia="es-ES_tradnl"/>
    </w:rPr>
  </w:style>
  <w:style w:type="paragraph" w:styleId="Gorputz-testua">
    <w:name w:val="Body Text"/>
    <w:basedOn w:val="Normala"/>
    <w:link w:val="Gorputz-testuaKar"/>
    <w:rsid w:val="00493352"/>
    <w:pPr>
      <w:jc w:val="both"/>
    </w:pPr>
    <w:rPr>
      <w:b/>
      <w:lang w:eastAsia="es-ES"/>
    </w:rPr>
  </w:style>
  <w:style w:type="character" w:customStyle="1" w:styleId="Gorputz-testuaKar">
    <w:name w:val="Gorputz-testua Kar"/>
    <w:basedOn w:val="Paragrafoarenletra-tipolehenetsia"/>
    <w:link w:val="Gorputz-testua"/>
    <w:rsid w:val="00493352"/>
    <w:rPr>
      <w:b/>
      <w:sz w:val="24"/>
    </w:rPr>
  </w:style>
  <w:style w:type="paragraph" w:customStyle="1" w:styleId="parrafo1">
    <w:name w:val="parrafo1"/>
    <w:basedOn w:val="Normala"/>
    <w:rsid w:val="00493352"/>
    <w:pPr>
      <w:spacing w:before="180" w:after="180"/>
      <w:ind w:firstLine="360"/>
      <w:jc w:val="both"/>
    </w:pPr>
    <w:rPr>
      <w:szCs w:val="24"/>
      <w:lang w:eastAsia="es-ES"/>
    </w:rPr>
  </w:style>
  <w:style w:type="paragraph" w:customStyle="1" w:styleId="Default">
    <w:name w:val="Default"/>
    <w:rsid w:val="00493352"/>
    <w:pPr>
      <w:autoSpaceDE w:val="0"/>
      <w:autoSpaceDN w:val="0"/>
      <w:adjustRightInd w:val="0"/>
    </w:pPr>
    <w:rPr>
      <w:rFonts w:ascii="Arial" w:hAnsi="Arial" w:cs="Arial"/>
      <w:color w:val="000000"/>
      <w:sz w:val="24"/>
      <w:szCs w:val="24"/>
    </w:rPr>
  </w:style>
  <w:style w:type="paragraph" w:styleId="Tarterikez">
    <w:name w:val="No Spacing"/>
    <w:uiPriority w:val="1"/>
    <w:qFormat/>
    <w:rsid w:val="002C55F3"/>
    <w:rPr>
      <w:rFonts w:asciiTheme="minorHAnsi" w:eastAsiaTheme="minorHAnsi" w:hAnsiTheme="minorHAnsi" w:cstheme="minorBidi"/>
      <w:sz w:val="24"/>
      <w:szCs w:val="24"/>
      <w:lang w:eastAsia="en-US"/>
    </w:rPr>
  </w:style>
  <w:style w:type="paragraph" w:styleId="Zerrenda-paragrafoa">
    <w:name w:val="List Paragraph"/>
    <w:basedOn w:val="Normala"/>
    <w:uiPriority w:val="34"/>
    <w:qFormat/>
    <w:rsid w:val="002C55F3"/>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ZERBITZU%20BURUA\ELI\CARTAS\2017\PLANTILLAK\Kirol%20zuzendaritz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a" ma:contentTypeID="0x0101009C0FB781A6AFC342916CD1DEA0B987C0" ma:contentTypeVersion="11" ma:contentTypeDescription="Sortu dokumentu berri bat." ma:contentTypeScope="" ma:versionID="d8b93301b9e770a5b820c049dd829a3b">
  <xsd:schema xmlns:xsd="http://www.w3.org/2001/XMLSchema" xmlns:xs="http://www.w3.org/2001/XMLSchema" xmlns:p="http://schemas.microsoft.com/office/2006/metadata/properties" xmlns:ns2="8c35392d-4ec5-4c96-a9bc-d6c97c77fa09" xmlns:ns3="624f3b94-bbc5-4573-aeef-0eaada64f22b" targetNamespace="http://schemas.microsoft.com/office/2006/metadata/properties" ma:root="true" ma:fieldsID="5ee5044d89aca4b3c9b342bb6c1a9e15" ns2:_="" ns3:_="">
    <xsd:import namespace="8c35392d-4ec5-4c96-a9bc-d6c97c77fa09"/>
    <xsd:import namespace="624f3b94-bbc5-4573-aeef-0eaada64f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5392d-4ec5-4c96-a9bc-d6c97c77f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4f3b94-bbc5-4573-aeef-0eaada64f22b" elementFormDefault="qualified">
    <xsd:import namespace="http://schemas.microsoft.com/office/2006/documentManagement/types"/>
    <xsd:import namespace="http://schemas.microsoft.com/office/infopath/2007/PartnerControls"/>
    <xsd:element name="SharedWithUsers" ma:index="10"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Xehetasunekin partekatu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200D8C-F174-4943-9E9F-47E7A46CB2E7}">
  <ds:schemaRefs>
    <ds:schemaRef ds:uri="http://schemas.microsoft.com/sharepoint/v3/contenttype/forms"/>
  </ds:schemaRefs>
</ds:datastoreItem>
</file>

<file path=customXml/itemProps2.xml><?xml version="1.0" encoding="utf-8"?>
<ds:datastoreItem xmlns:ds="http://schemas.openxmlformats.org/officeDocument/2006/customXml" ds:itemID="{32616217-4829-4808-B80B-E2EFBF458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5392d-4ec5-4c96-a9bc-d6c97c77fa09"/>
    <ds:schemaRef ds:uri="624f3b94-bbc5-4573-aeef-0eaada64f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1246E9-1D0E-454F-92B1-DEB64AA09848}">
  <ds:schemaRefs>
    <ds:schemaRef ds:uri="http://purl.org/dc/terms/"/>
    <ds:schemaRef ds:uri="624f3b94-bbc5-4573-aeef-0eaada64f22b"/>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c35392d-4ec5-4c96-a9bc-d6c97c77fa0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Kirol zuzendaritza-.dotx</Template>
  <TotalTime>0</TotalTime>
  <Pages>13</Pages>
  <Words>4917</Words>
  <Characters>25452</Characters>
  <Application>Microsoft Office Word</Application>
  <DocSecurity>0</DocSecurity>
  <Lines>212</Lines>
  <Paragraphs>60</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Plantilla normalizada para WORD</vt:lpstr>
      <vt:lpstr>Plantilla normalizada para WORD</vt:lpstr>
    </vt:vector>
  </TitlesOfParts>
  <Company>EJIE</Company>
  <LinksUpToDate>false</LinksUpToDate>
  <CharactersWithSpaces>30309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Altube Bengoa, Elisabet</dc:creator>
  <cp:lastModifiedBy>Azcarate Vergara, Izaskun</cp:lastModifiedBy>
  <cp:revision>3</cp:revision>
  <cp:lastPrinted>1999-10-14T06:58:00Z</cp:lastPrinted>
  <dcterms:created xsi:type="dcterms:W3CDTF">2021-04-06T10:19:00Z</dcterms:created>
  <dcterms:modified xsi:type="dcterms:W3CDTF">2021-04-06T10:39:00Z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0x0101009C0FB781A6AFC342916CD1DEA0B987C0</vt:lpwstr>
  </property>
</Properties>
</file>